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B4FA2" w14:textId="4C2A0230" w:rsidR="0060224E" w:rsidRPr="0060224E" w:rsidRDefault="0060224E" w:rsidP="0060224E">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bookmarkStart w:id="0" w:name="_GoBack"/>
      <w:bookmarkEnd w:id="0"/>
      <w:r>
        <w:rPr>
          <w:rFonts w:ascii="Arial" w:eastAsia="바탕" w:hAnsi="Arial" w:cs="Arial"/>
          <w:b/>
          <w:bCs/>
          <w:sz w:val="24"/>
          <w:szCs w:val="24"/>
        </w:rPr>
        <w:t>3GPP TSG RAN WG1 #110bis-e</w:t>
      </w:r>
      <w:r>
        <w:rPr>
          <w:rFonts w:ascii="Arial" w:eastAsia="바탕" w:hAnsi="Arial" w:cs="Arial"/>
          <w:b/>
          <w:bCs/>
          <w:sz w:val="24"/>
          <w:szCs w:val="24"/>
        </w:rPr>
        <w:tab/>
      </w:r>
      <w:r>
        <w:rPr>
          <w:rFonts w:ascii="Arial" w:eastAsia="바탕" w:hAnsi="Arial" w:cs="Arial"/>
          <w:b/>
          <w:bCs/>
          <w:sz w:val="24"/>
          <w:szCs w:val="24"/>
        </w:rPr>
        <w:tab/>
      </w:r>
      <w:r>
        <w:rPr>
          <w:rFonts w:ascii="Arial" w:eastAsia="바탕" w:hAnsi="Arial" w:cs="Arial"/>
          <w:b/>
          <w:bCs/>
          <w:sz w:val="24"/>
          <w:szCs w:val="24"/>
        </w:rPr>
        <w:tab/>
        <w:t>R1-</w:t>
      </w:r>
      <w:r w:rsidR="00C83F08" w:rsidRPr="00C83F08">
        <w:t xml:space="preserve"> </w:t>
      </w:r>
      <w:r w:rsidR="00C83F08" w:rsidRPr="00C83F08">
        <w:rPr>
          <w:rFonts w:ascii="Arial" w:eastAsia="바탕" w:hAnsi="Arial" w:cs="Arial"/>
          <w:b/>
          <w:bCs/>
          <w:sz w:val="24"/>
          <w:szCs w:val="24"/>
        </w:rPr>
        <w:t>2209457</w:t>
      </w:r>
    </w:p>
    <w:p w14:paraId="1F7C19D1" w14:textId="77777777" w:rsidR="0060224E" w:rsidRDefault="0060224E" w:rsidP="0060224E">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60224E">
        <w:rPr>
          <w:rFonts w:ascii="Arial" w:eastAsia="바탕" w:hAnsi="Arial" w:cs="Arial"/>
          <w:b/>
          <w:bCs/>
          <w:sz w:val="24"/>
          <w:szCs w:val="24"/>
        </w:rPr>
        <w:t>e-Meeting, October 10th – 19th, 2022</w:t>
      </w:r>
    </w:p>
    <w:p w14:paraId="05B619CD" w14:textId="77777777" w:rsidR="0060224E" w:rsidRDefault="0060224E" w:rsidP="0060224E">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p>
    <w:p w14:paraId="65D0CC4C" w14:textId="65925C6E"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DE502F">
        <w:rPr>
          <w:rFonts w:ascii="Arial" w:hAnsi="Arial"/>
          <w:sz w:val="24"/>
          <w:lang w:val="en-US"/>
        </w:rPr>
        <w:t>9</w:t>
      </w:r>
      <w:r w:rsidR="000A2C7C" w:rsidRPr="000A2C7C">
        <w:rPr>
          <w:rFonts w:ascii="Arial" w:hAnsi="Arial"/>
          <w:sz w:val="24"/>
          <w:lang w:val="en-US"/>
        </w:rPr>
        <w:t>.</w:t>
      </w:r>
      <w:r w:rsidR="0060224E">
        <w:rPr>
          <w:rFonts w:ascii="Arial" w:hAnsi="Arial"/>
          <w:sz w:val="24"/>
          <w:lang w:val="en-US"/>
        </w:rPr>
        <w:t>10</w:t>
      </w:r>
      <w:r w:rsidR="000A2C7C" w:rsidRPr="000A2C7C">
        <w:rPr>
          <w:rFonts w:ascii="Arial" w:hAnsi="Arial"/>
          <w:sz w:val="24"/>
          <w:lang w:val="en-US"/>
        </w:rPr>
        <w:t>.</w:t>
      </w:r>
      <w:r w:rsidR="00B04CE0">
        <w:rPr>
          <w:rFonts w:ascii="Arial" w:hAnsi="Arial"/>
          <w:sz w:val="24"/>
          <w:lang w:val="en-US"/>
        </w:rPr>
        <w:t>2</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01F3243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04CE0" w:rsidRPr="00B04CE0">
        <w:rPr>
          <w:rFonts w:ascii="Arial" w:hAnsi="Arial"/>
          <w:sz w:val="24"/>
        </w:rPr>
        <w:t>XR-specific capacity enhancements techniques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bookmarkStart w:id="4" w:name="_Ref87036880"/>
      <w:r w:rsidRPr="00A440DA">
        <w:rPr>
          <w:rFonts w:eastAsia="바탕" w:hint="eastAsia"/>
          <w:b/>
          <w:lang w:eastAsia="ko-KR"/>
        </w:rPr>
        <w:t>Introduction</w:t>
      </w:r>
      <w:bookmarkEnd w:id="4"/>
    </w:p>
    <w:p w14:paraId="49C26B21" w14:textId="0B2CC66A" w:rsidR="00021E44" w:rsidRDefault="00021E44"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In the last meeting, following agreements have been made for XR SI</w:t>
      </w:r>
      <w:r w:rsidR="002E5FB7">
        <w:rPr>
          <w:rFonts w:eastAsia="맑은 고딕"/>
          <w:kern w:val="2"/>
          <w:sz w:val="22"/>
          <w:szCs w:val="22"/>
          <w:lang w:val="en-US" w:eastAsia="ko-KR"/>
        </w:rPr>
        <w:t xml:space="preserve"> [1]</w:t>
      </w:r>
      <w:r>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3B4FC4" w14:paraId="170B1ED7" w14:textId="77777777" w:rsidTr="00381ABB">
        <w:tc>
          <w:tcPr>
            <w:tcW w:w="9728" w:type="dxa"/>
            <w:shd w:val="clear" w:color="auto" w:fill="auto"/>
          </w:tcPr>
          <w:p w14:paraId="660045FE" w14:textId="77777777" w:rsidR="008C5FDA" w:rsidRDefault="008C5FDA" w:rsidP="0060224E">
            <w:pPr>
              <w:spacing w:before="0" w:after="0" w:line="220" w:lineRule="exact"/>
              <w:ind w:left="0" w:firstLine="0"/>
              <w:jc w:val="left"/>
              <w:rPr>
                <w:b/>
                <w:bCs/>
                <w:highlight w:val="green"/>
              </w:rPr>
            </w:pPr>
          </w:p>
          <w:p w14:paraId="7B62DA93" w14:textId="77777777" w:rsidR="0060224E" w:rsidRPr="0060224E" w:rsidRDefault="0060224E" w:rsidP="0060224E">
            <w:pPr>
              <w:spacing w:before="0" w:after="0" w:line="220" w:lineRule="exact"/>
              <w:ind w:left="0" w:firstLine="0"/>
              <w:jc w:val="left"/>
              <w:rPr>
                <w:rFonts w:eastAsia="바탕"/>
                <w:b/>
                <w:bCs/>
                <w:highlight w:val="green"/>
                <w:lang w:val="en-US" w:eastAsia="x-none"/>
              </w:rPr>
            </w:pPr>
            <w:r w:rsidRPr="0060224E">
              <w:rPr>
                <w:b/>
                <w:bCs/>
                <w:highlight w:val="green"/>
              </w:rPr>
              <w:t>Agreement</w:t>
            </w:r>
          </w:p>
          <w:p w14:paraId="1A682F1E" w14:textId="77777777" w:rsidR="0060224E" w:rsidRPr="0060224E" w:rsidRDefault="0060224E" w:rsidP="0060224E">
            <w:pPr>
              <w:spacing w:before="0" w:after="0" w:line="220" w:lineRule="exact"/>
              <w:ind w:left="0" w:firstLine="0"/>
              <w:jc w:val="left"/>
              <w:rPr>
                <w:rFonts w:eastAsia="바탕"/>
                <w:lang w:val="en-US" w:eastAsia="x-none"/>
              </w:rPr>
            </w:pPr>
            <w:r w:rsidRPr="0060224E">
              <w:rPr>
                <w:rFonts w:eastAsia="바탕"/>
                <w:lang w:val="en-US" w:eastAsia="x-none"/>
              </w:rPr>
              <w:t>RAN1 to make decision on the following in RAN1#110bis-e</w:t>
            </w:r>
          </w:p>
          <w:p w14:paraId="29E4532A" w14:textId="77777777" w:rsidR="0060224E" w:rsidRPr="0060224E" w:rsidRDefault="0060224E" w:rsidP="0060224E">
            <w:pPr>
              <w:numPr>
                <w:ilvl w:val="0"/>
                <w:numId w:val="27"/>
              </w:numPr>
              <w:spacing w:before="0" w:after="0" w:line="220" w:lineRule="exact"/>
              <w:jc w:val="left"/>
              <w:rPr>
                <w:rFonts w:eastAsia="바탕"/>
                <w:lang w:val="en-US" w:eastAsia="en-GB"/>
              </w:rPr>
            </w:pPr>
            <w:r w:rsidRPr="0060224E">
              <w:rPr>
                <w:rFonts w:eastAsia="바탕"/>
                <w:lang w:val="en-US" w:eastAsia="en-GB"/>
              </w:rPr>
              <w:t>Support single DCI scheduling multi-PDSCHs/PUSCHs which is currently supported for FR2-2 to other SCS in FR1/FR2</w:t>
            </w:r>
          </w:p>
          <w:p w14:paraId="6B109542" w14:textId="77777777" w:rsidR="0060224E" w:rsidRPr="0060224E" w:rsidRDefault="0060224E" w:rsidP="0060224E">
            <w:pPr>
              <w:spacing w:before="0" w:after="0" w:line="220" w:lineRule="exact"/>
              <w:ind w:left="0" w:firstLine="0"/>
              <w:jc w:val="left"/>
              <w:rPr>
                <w:bCs/>
                <w:iCs/>
                <w:szCs w:val="22"/>
              </w:rPr>
            </w:pPr>
          </w:p>
          <w:p w14:paraId="18099F78" w14:textId="77777777" w:rsidR="0060224E" w:rsidRDefault="0060224E" w:rsidP="0060224E">
            <w:pPr>
              <w:spacing w:before="0" w:after="0" w:line="220" w:lineRule="exact"/>
              <w:ind w:left="0" w:firstLine="0"/>
              <w:jc w:val="left"/>
              <w:rPr>
                <w:b/>
                <w:bCs/>
              </w:rPr>
            </w:pPr>
            <w:r w:rsidRPr="0060224E">
              <w:rPr>
                <w:b/>
                <w:bCs/>
              </w:rPr>
              <w:t>Conclusion</w:t>
            </w:r>
          </w:p>
          <w:p w14:paraId="49399383" w14:textId="443781BB" w:rsidR="0060224E" w:rsidRDefault="0060224E" w:rsidP="0060224E">
            <w:pPr>
              <w:tabs>
                <w:tab w:val="left" w:pos="1872"/>
              </w:tabs>
              <w:spacing w:line="220" w:lineRule="exact"/>
              <w:ind w:left="0" w:firstLine="0"/>
            </w:pPr>
            <w:r w:rsidRPr="0060224E">
              <w:t>There is no consensus in RAN1 on the benefits of enhancing SPS for the purpose of XR capacity enhancement</w:t>
            </w:r>
          </w:p>
          <w:p w14:paraId="0722DECE" w14:textId="77777777" w:rsidR="0060224E" w:rsidRDefault="0060224E" w:rsidP="0060224E">
            <w:pPr>
              <w:spacing w:before="0" w:after="0" w:line="220" w:lineRule="exact"/>
              <w:ind w:left="0" w:firstLine="0"/>
              <w:jc w:val="left"/>
              <w:rPr>
                <w:b/>
                <w:bCs/>
                <w:lang w:val="en-US" w:eastAsia="x-none"/>
              </w:rPr>
            </w:pPr>
            <w:r w:rsidRPr="0060224E">
              <w:rPr>
                <w:b/>
                <w:bCs/>
                <w:highlight w:val="green"/>
              </w:rPr>
              <w:t>Agreement</w:t>
            </w:r>
          </w:p>
          <w:p w14:paraId="5C8DBC16" w14:textId="5FCA2834" w:rsidR="0060224E" w:rsidRPr="0060224E" w:rsidRDefault="0060224E" w:rsidP="0060224E">
            <w:pPr>
              <w:spacing w:line="220" w:lineRule="exact"/>
              <w:ind w:left="0" w:firstLine="0"/>
            </w:pPr>
            <w:r w:rsidRPr="0060224E">
              <w:t>When DG is used as the baseline scheme, for the performance evaluation scheduling, after SR is triggered, both BSR and UL data can be transmitted using the UL grant after SR.</w:t>
            </w:r>
          </w:p>
          <w:p w14:paraId="44758C81" w14:textId="77777777" w:rsidR="0060224E" w:rsidRDefault="0060224E" w:rsidP="0060224E">
            <w:pPr>
              <w:pStyle w:val="af4"/>
              <w:widowControl/>
              <w:numPr>
                <w:ilvl w:val="0"/>
                <w:numId w:val="28"/>
              </w:numPr>
              <w:wordWrap/>
              <w:autoSpaceDE/>
              <w:autoSpaceDN/>
              <w:spacing w:after="0" w:line="220" w:lineRule="exact"/>
              <w:rPr>
                <w:sz w:val="20"/>
                <w:szCs w:val="20"/>
              </w:rPr>
            </w:pPr>
            <w:r w:rsidRPr="0060224E">
              <w:rPr>
                <w:sz w:val="20"/>
                <w:szCs w:val="20"/>
              </w:rPr>
              <w:t>Companies are encouraged to provide the size of resources by the first UL grant after SR</w:t>
            </w:r>
          </w:p>
          <w:p w14:paraId="10A82FF7" w14:textId="77777777" w:rsidR="0060224E" w:rsidRPr="0060224E" w:rsidRDefault="0060224E" w:rsidP="0060224E">
            <w:pPr>
              <w:pStyle w:val="af4"/>
              <w:widowControl/>
              <w:wordWrap/>
              <w:autoSpaceDE/>
              <w:autoSpaceDN/>
              <w:spacing w:after="0" w:line="220" w:lineRule="exact"/>
              <w:rPr>
                <w:sz w:val="20"/>
                <w:szCs w:val="20"/>
              </w:rPr>
            </w:pPr>
          </w:p>
          <w:p w14:paraId="5319A582" w14:textId="77777777" w:rsidR="0060224E" w:rsidRPr="0060224E" w:rsidRDefault="0060224E" w:rsidP="0060224E">
            <w:pPr>
              <w:spacing w:before="0" w:after="0" w:line="220" w:lineRule="exact"/>
              <w:ind w:left="0" w:firstLine="0"/>
              <w:jc w:val="left"/>
              <w:rPr>
                <w:b/>
                <w:bCs/>
                <w:highlight w:val="green"/>
                <w:lang w:val="en-US" w:eastAsia="x-none"/>
              </w:rPr>
            </w:pPr>
            <w:r w:rsidRPr="0060224E">
              <w:rPr>
                <w:b/>
                <w:bCs/>
                <w:highlight w:val="green"/>
              </w:rPr>
              <w:t>Agreement</w:t>
            </w:r>
          </w:p>
          <w:p w14:paraId="19EF5F2B" w14:textId="77777777" w:rsidR="0060224E" w:rsidRPr="0060224E" w:rsidRDefault="0060224E" w:rsidP="0060224E">
            <w:pPr>
              <w:pStyle w:val="af4"/>
              <w:wordWrap/>
              <w:spacing w:after="0" w:line="220" w:lineRule="exact"/>
              <w:rPr>
                <w:sz w:val="20"/>
                <w:szCs w:val="20"/>
              </w:rPr>
            </w:pPr>
            <w:r w:rsidRPr="0060224E">
              <w:rPr>
                <w:sz w:val="20"/>
                <w:szCs w:val="20"/>
              </w:rPr>
              <w:t>Whether/how to enhance BSR to improve capacity performance of XR traffic is within RAN2 scope and is not handled by RAN1.</w:t>
            </w:r>
          </w:p>
          <w:p w14:paraId="0F22C087" w14:textId="77777777" w:rsidR="0060224E" w:rsidRPr="0060224E" w:rsidRDefault="0060224E" w:rsidP="0060224E">
            <w:pPr>
              <w:pStyle w:val="ad"/>
              <w:numPr>
                <w:ilvl w:val="0"/>
                <w:numId w:val="28"/>
              </w:numPr>
              <w:wordWrap/>
              <w:autoSpaceDE/>
              <w:autoSpaceDN/>
              <w:spacing w:before="0" w:line="220" w:lineRule="exact"/>
              <w:ind w:leftChars="0"/>
              <w:jc w:val="left"/>
              <w:rPr>
                <w:rFonts w:ascii="Times New Roman" w:eastAsia="Calibri" w:hAnsi="Times New Roman"/>
                <w:lang w:val="en-US" w:eastAsia="zh-CN"/>
              </w:rPr>
            </w:pPr>
            <w:r w:rsidRPr="0060224E">
              <w:rPr>
                <w:rFonts w:ascii="Times New Roman" w:hAnsi="Times New Roman"/>
                <w:lang w:val="en-US" w:eastAsia="ja-JP"/>
              </w:rPr>
              <w:t>Note that companies should indicate if and what BSR enhancement is assumed in their RAN1 proposals on CG and DG enhancements.</w:t>
            </w:r>
          </w:p>
          <w:p w14:paraId="4340AE98" w14:textId="77777777" w:rsidR="0060224E" w:rsidRPr="0060224E" w:rsidRDefault="0060224E" w:rsidP="0060224E">
            <w:pPr>
              <w:pStyle w:val="ad"/>
              <w:numPr>
                <w:ilvl w:val="0"/>
                <w:numId w:val="28"/>
              </w:numPr>
              <w:wordWrap/>
              <w:autoSpaceDE/>
              <w:autoSpaceDN/>
              <w:spacing w:before="0" w:line="220" w:lineRule="exact"/>
              <w:ind w:leftChars="0"/>
              <w:jc w:val="left"/>
              <w:rPr>
                <w:rFonts w:ascii="Times New Roman" w:hAnsi="Times New Roman"/>
                <w:lang w:val="en-US"/>
              </w:rPr>
            </w:pPr>
            <w:r w:rsidRPr="0060224E">
              <w:rPr>
                <w:rFonts w:ascii="Times New Roman" w:hAnsi="Times New Roman"/>
                <w:lang w:val="en-US" w:eastAsia="ja-JP"/>
              </w:rPr>
              <w:t xml:space="preserve">RAN1 can evaluate </w:t>
            </w:r>
            <w:r w:rsidRPr="0060224E">
              <w:rPr>
                <w:rFonts w:ascii="Times New Roman" w:hAnsi="Times New Roman"/>
              </w:rPr>
              <w:t>BSR enhancement to improve capacity performance</w:t>
            </w:r>
          </w:p>
          <w:p w14:paraId="4A1B0A0D" w14:textId="77777777" w:rsidR="0060224E" w:rsidRPr="0060224E" w:rsidRDefault="0060224E" w:rsidP="0060224E">
            <w:pPr>
              <w:spacing w:before="0" w:after="0" w:line="220" w:lineRule="exact"/>
              <w:ind w:left="0" w:firstLine="0"/>
              <w:jc w:val="left"/>
              <w:rPr>
                <w:bCs/>
                <w:iCs/>
                <w:szCs w:val="22"/>
              </w:rPr>
            </w:pPr>
          </w:p>
          <w:p w14:paraId="0DF037C8" w14:textId="77777777" w:rsidR="0060224E" w:rsidRPr="0060224E" w:rsidRDefault="0060224E" w:rsidP="0060224E">
            <w:pPr>
              <w:spacing w:before="0" w:after="0" w:line="220" w:lineRule="exact"/>
              <w:ind w:left="0" w:firstLine="0"/>
              <w:jc w:val="left"/>
              <w:rPr>
                <w:b/>
                <w:bCs/>
                <w:highlight w:val="green"/>
                <w:lang w:val="en-US" w:eastAsia="ko-KR"/>
              </w:rPr>
            </w:pPr>
            <w:r w:rsidRPr="0060224E">
              <w:rPr>
                <w:b/>
                <w:bCs/>
                <w:highlight w:val="green"/>
              </w:rPr>
              <w:t>Agreement</w:t>
            </w:r>
          </w:p>
          <w:p w14:paraId="5398BD3C" w14:textId="77777777" w:rsidR="0060224E" w:rsidRDefault="0060224E" w:rsidP="0060224E">
            <w:pPr>
              <w:pStyle w:val="af4"/>
              <w:wordWrap/>
              <w:spacing w:after="0" w:line="220" w:lineRule="exact"/>
              <w:rPr>
                <w:sz w:val="20"/>
                <w:szCs w:val="20"/>
                <w:lang w:eastAsia="ja-JP"/>
              </w:rPr>
            </w:pPr>
            <w:r w:rsidRPr="0060224E">
              <w:rPr>
                <w:sz w:val="20"/>
                <w:szCs w:val="20"/>
              </w:rPr>
              <w:t xml:space="preserve">Deprioritize the study of CQI report for different BLER and/or different XR traffic </w:t>
            </w:r>
            <w:r w:rsidRPr="0060224E">
              <w:rPr>
                <w:sz w:val="20"/>
                <w:szCs w:val="20"/>
                <w:lang w:eastAsia="ja-JP"/>
              </w:rPr>
              <w:t>to improve XR capacity performance.</w:t>
            </w:r>
          </w:p>
          <w:p w14:paraId="4A10E86E" w14:textId="77777777" w:rsidR="0060224E" w:rsidRPr="0060224E" w:rsidRDefault="0060224E" w:rsidP="0060224E">
            <w:pPr>
              <w:pStyle w:val="af4"/>
              <w:wordWrap/>
              <w:spacing w:after="0" w:line="220" w:lineRule="exact"/>
              <w:rPr>
                <w:sz w:val="20"/>
                <w:szCs w:val="20"/>
              </w:rPr>
            </w:pPr>
          </w:p>
          <w:p w14:paraId="25A08EE0" w14:textId="77777777" w:rsidR="0060224E" w:rsidRPr="0060224E" w:rsidRDefault="0060224E" w:rsidP="0060224E">
            <w:pPr>
              <w:spacing w:before="0" w:after="0" w:line="220" w:lineRule="exact"/>
              <w:ind w:left="0" w:firstLine="0"/>
              <w:jc w:val="left"/>
              <w:rPr>
                <w:b/>
                <w:bCs/>
                <w:highlight w:val="green"/>
                <w:lang w:val="en-US" w:eastAsia="ko-KR"/>
              </w:rPr>
            </w:pPr>
            <w:r w:rsidRPr="0060224E">
              <w:rPr>
                <w:b/>
                <w:bCs/>
                <w:highlight w:val="green"/>
              </w:rPr>
              <w:t>Agreement</w:t>
            </w:r>
          </w:p>
          <w:p w14:paraId="1B95E651" w14:textId="77777777" w:rsidR="0060224E" w:rsidRPr="0060224E" w:rsidRDefault="0060224E" w:rsidP="0060224E">
            <w:pPr>
              <w:pStyle w:val="af4"/>
              <w:wordWrap/>
              <w:spacing w:after="0" w:line="220" w:lineRule="exact"/>
              <w:rPr>
                <w:sz w:val="20"/>
                <w:szCs w:val="20"/>
              </w:rPr>
            </w:pPr>
            <w:r w:rsidRPr="0060224E">
              <w:rPr>
                <w:sz w:val="20"/>
                <w:szCs w:val="20"/>
              </w:rPr>
              <w:t xml:space="preserve">Deprioritize the study of </w:t>
            </w:r>
            <w:r w:rsidRPr="0060224E">
              <w:rPr>
                <w:sz w:val="20"/>
                <w:szCs w:val="20"/>
                <w:lang w:eastAsia="ja-JP"/>
              </w:rPr>
              <w:t>intra/inter UE prioritization/multiplexing enhancements to improve XR capacity performance.</w:t>
            </w:r>
          </w:p>
          <w:p w14:paraId="2F6028D4" w14:textId="00753ED0" w:rsidR="0060224E" w:rsidRPr="003B4FC4" w:rsidRDefault="0060224E" w:rsidP="0060224E">
            <w:pPr>
              <w:spacing w:before="0" w:after="0" w:line="220" w:lineRule="exact"/>
              <w:ind w:left="0" w:firstLine="0"/>
              <w:jc w:val="left"/>
              <w:rPr>
                <w:bCs/>
                <w:iCs/>
                <w:szCs w:val="22"/>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32E84F82" w14:textId="77777777" w:rsidR="00962A84" w:rsidRDefault="00694D1C" w:rsidP="00B04CE0">
      <w:pPr>
        <w:pStyle w:val="Doc"/>
      </w:pPr>
      <w:r>
        <w:rPr>
          <w:rFonts w:hint="eastAsia"/>
        </w:rPr>
        <w:t>I</w:t>
      </w:r>
      <w:r w:rsidR="00FC4310" w:rsidRPr="00FC4310">
        <w:t>n this contribution, we present our view</w:t>
      </w:r>
      <w:r w:rsidR="00A8576C">
        <w:t>s</w:t>
      </w:r>
      <w:r w:rsidR="00FC4310" w:rsidRPr="00FC4310">
        <w:t xml:space="preserve"> on </w:t>
      </w:r>
      <w:r w:rsidR="00E3030E">
        <w:t>the</w:t>
      </w:r>
      <w:r w:rsidR="00557DBD">
        <w:t xml:space="preserve"> potential enhancements of </w:t>
      </w:r>
      <w:r w:rsidR="00B04CE0">
        <w:t>capacity enhancement</w:t>
      </w:r>
      <w:r w:rsidR="00557DBD" w:rsidRPr="00557DBD">
        <w:t xml:space="preserve"> techniques</w:t>
      </w:r>
      <w:r w:rsidR="00557DBD">
        <w:t xml:space="preserve"> for XR</w:t>
      </w:r>
      <w:r w:rsidR="00270455">
        <w:t>.</w:t>
      </w:r>
      <w:r w:rsidR="00F72FF9">
        <w:t xml:space="preserve"> </w:t>
      </w:r>
    </w:p>
    <w:p w14:paraId="49112C96" w14:textId="77777777" w:rsidR="00962A84" w:rsidRDefault="00962A84" w:rsidP="00B04CE0">
      <w:pPr>
        <w:pStyle w:val="Doc"/>
      </w:pPr>
    </w:p>
    <w:p w14:paraId="267FC6DE" w14:textId="77777777" w:rsidR="00F72FF9" w:rsidRDefault="00F72FF9" w:rsidP="00F72FF9">
      <w:pPr>
        <w:pStyle w:val="2"/>
        <w:numPr>
          <w:ilvl w:val="1"/>
          <w:numId w:val="23"/>
        </w:numPr>
      </w:pPr>
      <w:r>
        <w:t>SPS/CG enhancement for XR-specific capacity improvement</w:t>
      </w:r>
    </w:p>
    <w:p w14:paraId="0EFCFFC1" w14:textId="79211CE5" w:rsidR="00F72FF9" w:rsidRDefault="00F72FF9" w:rsidP="00F72FF9">
      <w:pPr>
        <w:pStyle w:val="Doc"/>
      </w:pPr>
      <w:r>
        <w:t xml:space="preserve">For traffic flow having predictable payload size and periodicity, it is straightforward to use DL SPS or UL CG. However, the problem is that the periodicity cannot be guaranteed in symbol or slot level due to other </w:t>
      </w:r>
      <w:r>
        <w:lastRenderedPageBreak/>
        <w:t xml:space="preserve">characteristic like jitter. Moreover, GOP structure of video stream would require different transport block size in time. </w:t>
      </w:r>
    </w:p>
    <w:p w14:paraId="6E39B5A7" w14:textId="77777777" w:rsidR="00EC3B11" w:rsidRDefault="008F7ACD" w:rsidP="00F72FF9">
      <w:pPr>
        <w:pStyle w:val="Doc"/>
      </w:pPr>
      <w:r>
        <w:rPr>
          <w:rFonts w:hint="eastAsia"/>
        </w:rPr>
        <w:t xml:space="preserve">In the last </w:t>
      </w:r>
      <w:r>
        <w:t>meeting</w:t>
      </w:r>
      <w:r>
        <w:rPr>
          <w:rFonts w:hint="eastAsia"/>
        </w:rPr>
        <w:t>,</w:t>
      </w:r>
      <w:r>
        <w:t xml:space="preserve"> SR-to-</w:t>
      </w:r>
      <w:r>
        <w:rPr>
          <w:rFonts w:hint="eastAsia"/>
        </w:rPr>
        <w:t>UL</w:t>
      </w:r>
      <w:r>
        <w:t xml:space="preserve"> </w:t>
      </w:r>
      <w:r>
        <w:rPr>
          <w:rFonts w:hint="eastAsia"/>
        </w:rPr>
        <w:t xml:space="preserve">grant delay has been discussed </w:t>
      </w:r>
      <w:r>
        <w:t xml:space="preserve">in terms of necessity of CG for XR traffic. </w:t>
      </w:r>
      <w:r w:rsidR="00D0195F">
        <w:t xml:space="preserve">Since UE has to indicate </w:t>
      </w:r>
      <w:r>
        <w:t>size</w:t>
      </w:r>
      <w:r w:rsidR="00D0195F">
        <w:t xml:space="preserve">/type </w:t>
      </w:r>
      <w:r>
        <w:t xml:space="preserve">of data </w:t>
      </w:r>
      <w:r w:rsidR="00D0195F">
        <w:t xml:space="preserve">that </w:t>
      </w:r>
      <w:r>
        <w:t>needs to be transmitted</w:t>
      </w:r>
      <w:r w:rsidR="00D0195F">
        <w:t xml:space="preserve"> for dynamic scheduling, scheduling request procedure should be precede in advance. Based on the current specification, </w:t>
      </w:r>
      <w:r w:rsidR="00EC3B11">
        <w:t xml:space="preserve">only one SR can be transmitted at once even when multiple logical channel has triggered SR. In this point of view, it is difficult to predict UE buffet size by SR transmission. </w:t>
      </w:r>
    </w:p>
    <w:p w14:paraId="38E6FCB7" w14:textId="1D36DDB4" w:rsidR="008F7ACD" w:rsidRDefault="00EC3B11" w:rsidP="00F72FF9">
      <w:pPr>
        <w:pStyle w:val="Doc"/>
      </w:pPr>
      <w:r>
        <w:t>To derive proper SR-to-UL grant delay, we assume two of PUSCH scheduling, so that second PUSCH can be scheduled based on BSR in the first PUSCH. Other assumptions on gNB processing time are brought from 3GPP TS 38.824, latency analysis in URLLC SI. Following figure shows whole procedure of SR-to-PUSCH transmission.</w:t>
      </w:r>
    </w:p>
    <w:p w14:paraId="5CE3F890" w14:textId="77777777" w:rsidR="00EC3B11" w:rsidRDefault="00EC3B11" w:rsidP="00F72FF9">
      <w:pPr>
        <w:pStyle w:val="Doc"/>
      </w:pPr>
    </w:p>
    <w:p w14:paraId="79412ABD" w14:textId="26E0A17D" w:rsidR="004B09F7" w:rsidRDefault="004B09F7" w:rsidP="00F72FF9">
      <w:pPr>
        <w:pStyle w:val="Doc"/>
      </w:pPr>
      <w:r>
        <w:rPr>
          <w:noProof/>
        </w:rPr>
        <w:drawing>
          <wp:inline distT="0" distB="0" distL="0" distR="0" wp14:anchorId="4199F342" wp14:editId="4B1CD670">
            <wp:extent cx="5921324" cy="147184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8904" cy="1478700"/>
                    </a:xfrm>
                    <a:prstGeom prst="rect">
                      <a:avLst/>
                    </a:prstGeom>
                    <a:noFill/>
                  </pic:spPr>
                </pic:pic>
              </a:graphicData>
            </a:graphic>
          </wp:inline>
        </w:drawing>
      </w:r>
    </w:p>
    <w:p w14:paraId="2C5B52BE" w14:textId="6C1EBE1E" w:rsidR="004B09F7" w:rsidRDefault="004B09F7" w:rsidP="005812ED">
      <w:pPr>
        <w:pStyle w:val="Doc"/>
        <w:jc w:val="center"/>
      </w:pPr>
      <w:r>
        <w:t>Fig.1 SR-to-ULgrant delay analysis</w:t>
      </w:r>
    </w:p>
    <w:p w14:paraId="7270865F" w14:textId="124B1650" w:rsidR="004B09F7" w:rsidRDefault="004B09F7" w:rsidP="005812ED">
      <w:pPr>
        <w:pStyle w:val="Doc"/>
        <w:numPr>
          <w:ilvl w:val="0"/>
          <w:numId w:val="30"/>
        </w:numPr>
        <w:ind w:firstLineChars="0"/>
      </w:pPr>
      <w:r>
        <w:rPr>
          <w:rFonts w:hint="eastAsia"/>
        </w:rPr>
        <w:t>SR waiting time</w:t>
      </w:r>
      <w:r w:rsidR="009C199B">
        <w:t xml:space="preserve">: </w:t>
      </w:r>
      <w:r w:rsidR="009C199B" w:rsidRPr="005812ED">
        <w:rPr>
          <w:b/>
        </w:rPr>
        <w:t>2 symbol</w:t>
      </w:r>
      <w:r w:rsidR="009C199B">
        <w:t xml:space="preserve"> for 7 SR occasion per slot</w:t>
      </w:r>
    </w:p>
    <w:p w14:paraId="0EE09062" w14:textId="586D64B1" w:rsidR="009C199B" w:rsidRDefault="004B09F7" w:rsidP="005812ED">
      <w:pPr>
        <w:pStyle w:val="Doc"/>
        <w:numPr>
          <w:ilvl w:val="0"/>
          <w:numId w:val="30"/>
        </w:numPr>
        <w:ind w:firstLineChars="0"/>
      </w:pPr>
      <w:r>
        <w:t xml:space="preserve">gNB </w:t>
      </w:r>
      <w:r w:rsidR="009C199B">
        <w:t xml:space="preserve">SR </w:t>
      </w:r>
      <w:r>
        <w:t>processing time</w:t>
      </w:r>
      <w:r w:rsidR="009C199B">
        <w:t>: Assume N1</w:t>
      </w:r>
      <w:r w:rsidR="00447BF1">
        <w:t xml:space="preserve"> = </w:t>
      </w:r>
      <w:r w:rsidR="00447BF1" w:rsidRPr="005812ED">
        <w:rPr>
          <w:b/>
        </w:rPr>
        <w:t>10 symbol</w:t>
      </w:r>
    </w:p>
    <w:p w14:paraId="5678C1C7" w14:textId="4292B6AB" w:rsidR="004B09F7" w:rsidRDefault="009C199B" w:rsidP="005812ED">
      <w:pPr>
        <w:pStyle w:val="Doc"/>
        <w:numPr>
          <w:ilvl w:val="0"/>
          <w:numId w:val="30"/>
        </w:numPr>
        <w:ind w:firstLineChars="0"/>
      </w:pPr>
      <w:r>
        <w:t xml:space="preserve">PDCCH MO waiting time: </w:t>
      </w:r>
      <w:r w:rsidR="00447BF1">
        <w:t xml:space="preserve">about </w:t>
      </w:r>
      <w:r w:rsidR="00447BF1" w:rsidRPr="005812ED">
        <w:rPr>
          <w:b/>
        </w:rPr>
        <w:t>3 symbol</w:t>
      </w:r>
      <w:r w:rsidR="00447BF1">
        <w:t xml:space="preserve"> for 4 MO per slot.</w:t>
      </w:r>
    </w:p>
    <w:p w14:paraId="0FCA90DA" w14:textId="77BCD255" w:rsidR="009C199B" w:rsidRDefault="009C199B" w:rsidP="005812ED">
      <w:pPr>
        <w:pStyle w:val="Doc"/>
        <w:numPr>
          <w:ilvl w:val="0"/>
          <w:numId w:val="30"/>
        </w:numPr>
        <w:ind w:firstLineChars="0"/>
      </w:pPr>
      <w:r>
        <w:t>UE PUSCH processing</w:t>
      </w:r>
      <w:r w:rsidR="00447BF1">
        <w:t xml:space="preserve">: Assume N2+ PUSCH duration = </w:t>
      </w:r>
      <w:r w:rsidR="00447BF1" w:rsidRPr="005812ED">
        <w:rPr>
          <w:b/>
        </w:rPr>
        <w:t>18 symbol</w:t>
      </w:r>
    </w:p>
    <w:p w14:paraId="7B56164E" w14:textId="21DE06A2" w:rsidR="00447BF1" w:rsidRDefault="009C199B" w:rsidP="005812ED">
      <w:pPr>
        <w:pStyle w:val="Doc"/>
        <w:numPr>
          <w:ilvl w:val="0"/>
          <w:numId w:val="30"/>
        </w:numPr>
        <w:ind w:firstLineChars="0"/>
      </w:pPr>
      <w:r>
        <w:t xml:space="preserve">gNB </w:t>
      </w:r>
      <w:r w:rsidRPr="00405700">
        <w:t>PUSCH-to-PDCCH processing time</w:t>
      </w:r>
      <w:r w:rsidR="00447BF1">
        <w:t xml:space="preserve">: N1+X, </w:t>
      </w:r>
      <w:r w:rsidR="00447BF1" w:rsidRPr="009C199B">
        <w:t>X = 2</w:t>
      </w:r>
      <w:r w:rsidR="00447BF1">
        <w:t xml:space="preserve"> </w:t>
      </w:r>
      <w:r w:rsidR="00447BF1" w:rsidRPr="009C199B">
        <w:t>symbols for SCS = 30</w:t>
      </w:r>
      <w:r w:rsidR="00447BF1">
        <w:t xml:space="preserve"> KHz = </w:t>
      </w:r>
      <w:r w:rsidR="00447BF1" w:rsidRPr="005812ED">
        <w:rPr>
          <w:b/>
        </w:rPr>
        <w:t>12 symbol</w:t>
      </w:r>
    </w:p>
    <w:p w14:paraId="2DD83E07" w14:textId="113B0245" w:rsidR="009C199B" w:rsidRDefault="009C199B" w:rsidP="009C199B">
      <w:pPr>
        <w:pStyle w:val="Doc"/>
        <w:numPr>
          <w:ilvl w:val="0"/>
          <w:numId w:val="30"/>
        </w:numPr>
        <w:ind w:firstLineChars="0"/>
      </w:pPr>
      <w:r>
        <w:t>PDCCH MO waiting time</w:t>
      </w:r>
      <w:r w:rsidR="00447BF1">
        <w:t xml:space="preserve">: about </w:t>
      </w:r>
      <w:r w:rsidR="00447BF1" w:rsidRPr="005812ED">
        <w:rPr>
          <w:b/>
        </w:rPr>
        <w:t>3 symbol</w:t>
      </w:r>
      <w:r w:rsidR="00447BF1">
        <w:t xml:space="preserve"> for 4 MO per slot.</w:t>
      </w:r>
    </w:p>
    <w:p w14:paraId="64EF07E0" w14:textId="1E5BF52B" w:rsidR="009C199B" w:rsidRDefault="009C199B" w:rsidP="009C199B">
      <w:pPr>
        <w:pStyle w:val="Doc"/>
        <w:numPr>
          <w:ilvl w:val="0"/>
          <w:numId w:val="30"/>
        </w:numPr>
        <w:ind w:firstLineChars="0"/>
      </w:pPr>
      <w:r>
        <w:t>UE PUSCH processing</w:t>
      </w:r>
      <w:r w:rsidR="00447BF1">
        <w:t xml:space="preserve">: N2+ PUSCH duration  = </w:t>
      </w:r>
      <w:r w:rsidR="00447BF1" w:rsidRPr="00547C20">
        <w:rPr>
          <w:b/>
        </w:rPr>
        <w:t>18 symbol</w:t>
      </w:r>
    </w:p>
    <w:p w14:paraId="6CE91218" w14:textId="77777777" w:rsidR="009C199B" w:rsidRDefault="009C199B" w:rsidP="005812ED">
      <w:pPr>
        <w:pStyle w:val="Doc"/>
        <w:ind w:firstLineChars="0"/>
      </w:pPr>
    </w:p>
    <w:p w14:paraId="48D93FF2" w14:textId="4EE27E8B" w:rsidR="00447BF1" w:rsidRDefault="00EC3B11" w:rsidP="005812ED">
      <w:pPr>
        <w:pStyle w:val="Doc"/>
        <w:ind w:firstLineChars="0"/>
      </w:pPr>
      <w:r>
        <w:t xml:space="preserve">Above is brief analysis since slot alignment of PUSCH or PDCCH hasn’t been considered. Thus, the derived SR-to-UL grant delay is lower bound. As a result, we think </w:t>
      </w:r>
      <w:r w:rsidR="00447BF1">
        <w:t>66 symbol ~ 4.7 slots</w:t>
      </w:r>
      <w:r>
        <w:t xml:space="preserve"> of SR-to-UL grant delay can be considered.</w:t>
      </w:r>
    </w:p>
    <w:p w14:paraId="06B58DE9" w14:textId="5763BDA0" w:rsidR="00EC3B11" w:rsidRPr="00EF5695" w:rsidRDefault="00EC3B11" w:rsidP="00EC3B11">
      <w:pPr>
        <w:pStyle w:val="rProposal"/>
      </w:pPr>
      <w:r>
        <w:t xml:space="preserve">Proposal </w:t>
      </w:r>
      <w:r w:rsidR="00FA3E65">
        <w:t>1</w:t>
      </w:r>
      <w:r>
        <w:t xml:space="preserve">: 4 or 5 slot SR-to-UL grant delay can be considered. </w:t>
      </w:r>
    </w:p>
    <w:p w14:paraId="2B78A86F" w14:textId="6D004E7C" w:rsidR="00EC3B11" w:rsidRPr="005812ED" w:rsidRDefault="00420F55" w:rsidP="005812ED">
      <w:pPr>
        <w:pStyle w:val="Doc"/>
        <w:ind w:firstLineChars="0"/>
        <w:rPr>
          <w:lang w:val="en-GB"/>
        </w:rPr>
      </w:pPr>
      <w:r>
        <w:rPr>
          <w:rFonts w:hint="eastAsia"/>
          <w:lang w:val="en-GB"/>
        </w:rPr>
        <w:lastRenderedPageBreak/>
        <w:t xml:space="preserve">Considering BSR, UE can be </w:t>
      </w:r>
      <w:r>
        <w:rPr>
          <w:lang w:val="en-GB"/>
        </w:rPr>
        <w:t>scheduled</w:t>
      </w:r>
      <w:r>
        <w:rPr>
          <w:rFonts w:hint="eastAsia"/>
          <w:lang w:val="en-GB"/>
        </w:rPr>
        <w:t xml:space="preserve"> </w:t>
      </w:r>
      <w:r>
        <w:rPr>
          <w:lang w:val="en-GB"/>
        </w:rPr>
        <w:t>by gNB without SR if UE is transmitting PUSCH continuously.</w:t>
      </w:r>
      <w:r w:rsidR="006468DE">
        <w:rPr>
          <w:lang w:val="en-GB"/>
        </w:rPr>
        <w:t xml:space="preserve"> However, XR traffic like video or audio, has 15 – 30 ms periodicity, which is bit large for continuous PUSCH transmission. We see that CG would be suitable for XR traffic having a moderate periodicity. On the other hand, other XR traffics like pose data wouldn’t suffer from </w:t>
      </w:r>
      <w:r w:rsidR="006468DE">
        <w:t xml:space="preserve">SR-to-UL grant delay, since those traffic have only few milliseconds periodicities. In spite of this characteristic, it seems reasonable to use CG PUSCH for supporting pose data due to an amount of required DCIs. </w:t>
      </w:r>
    </w:p>
    <w:p w14:paraId="69310749" w14:textId="336EEDE0" w:rsidR="006468DE" w:rsidRPr="00EF5695" w:rsidRDefault="006468DE" w:rsidP="006468DE">
      <w:pPr>
        <w:pStyle w:val="rProposal"/>
      </w:pPr>
      <w:r>
        <w:t xml:space="preserve">Proposal </w:t>
      </w:r>
      <w:r w:rsidR="00FA3E65">
        <w:t>2</w:t>
      </w:r>
      <w:r>
        <w:t>: Configured grant is beneficial to support</w:t>
      </w:r>
      <w:r w:rsidR="00792B30">
        <w:t xml:space="preserve"> various</w:t>
      </w:r>
      <w:r>
        <w:t xml:space="preserve"> XR traffic. </w:t>
      </w:r>
    </w:p>
    <w:p w14:paraId="1AEC3F12" w14:textId="6FDE38A3" w:rsidR="00F72FF9" w:rsidRDefault="00F72FF9" w:rsidP="00F72FF9">
      <w:pPr>
        <w:pStyle w:val="Doc"/>
      </w:pPr>
      <w:r>
        <w:rPr>
          <w:rFonts w:hint="eastAsia"/>
        </w:rPr>
        <w:t xml:space="preserve">In case of jitter, the impact of jitter can be mitigated by sufficient transmission </w:t>
      </w:r>
      <w:r>
        <w:t>occasion (TO)</w:t>
      </w:r>
      <w:r>
        <w:rPr>
          <w:rFonts w:hint="eastAsia"/>
        </w:rPr>
        <w:t>.</w:t>
      </w:r>
      <w:r>
        <w:t xml:space="preserve"> For example, UE can be configured with multiple CG configuration having the same periodicity and with different starting offset. Then, multiple TO can be configured around expected traffic arrival time, so that UE can choose nearest TO while </w:t>
      </w:r>
      <w:r w:rsidRPr="00D57195">
        <w:t xml:space="preserve">maintaining a certain level of </w:t>
      </w:r>
      <w:r>
        <w:t xml:space="preserve">waiting time even with some drift. However, it would require a </w:t>
      </w:r>
      <w:r w:rsidRPr="00D57195">
        <w:t>tremendous</w:t>
      </w:r>
      <w:r>
        <w:t xml:space="preserve"> number of CG only for few traffic flows. Thus, it would be necessary to consider new resource allocation method for CG which supports multiple TO in a periodicity with single configurations.</w:t>
      </w:r>
    </w:p>
    <w:p w14:paraId="743C529A" w14:textId="57EA9B5F" w:rsidR="00F72FF9" w:rsidRPr="00EF5695" w:rsidRDefault="005E17E6" w:rsidP="00F72FF9">
      <w:pPr>
        <w:pStyle w:val="rProposal"/>
      </w:pPr>
      <w:r>
        <w:t xml:space="preserve">Proposal </w:t>
      </w:r>
      <w:r w:rsidR="00FA3E65">
        <w:t>3</w:t>
      </w:r>
      <w:r w:rsidR="00F72FF9">
        <w:t>: At least for jitter handling w</w:t>
      </w:r>
      <w:r>
        <w:t xml:space="preserve">ith CG configuration, it is </w:t>
      </w:r>
      <w:r w:rsidR="00F72FF9">
        <w:t xml:space="preserve">necessary to allocate multiple TOs in a periodicity with single CG configurations. </w:t>
      </w:r>
    </w:p>
    <w:p w14:paraId="065E6BF0" w14:textId="70452B35" w:rsidR="007C4C25" w:rsidRDefault="007C4C25" w:rsidP="00F72FF9">
      <w:pPr>
        <w:pStyle w:val="Doc"/>
        <w:rPr>
          <w:lang w:val="en-GB"/>
        </w:rPr>
      </w:pPr>
      <w:r>
        <w:rPr>
          <w:rFonts w:hint="eastAsia"/>
          <w:lang w:val="en-GB"/>
        </w:rPr>
        <w:t xml:space="preserve">In order to allocate multiple TOs </w:t>
      </w:r>
      <w:r>
        <w:rPr>
          <w:lang w:val="en-GB"/>
        </w:rPr>
        <w:t>in a periodicity, the single DCI scheduling multiple PDSCH/PUSCH can be re-used</w:t>
      </w:r>
      <w:r w:rsidR="00C52156">
        <w:rPr>
          <w:lang w:val="en-GB"/>
        </w:rPr>
        <w:t xml:space="preserve"> if it is supported</w:t>
      </w:r>
      <w:r>
        <w:rPr>
          <w:lang w:val="en-GB"/>
        </w:rPr>
        <w:t>. For example, gNB can transmit the DCI scheduling multi-PUSCH as an activation DCI for CG configuration. Then, scheduled multiple PUSCH can be obtained as CG PUSCH in the first period and UE can repeat those PUSCH in every period. This would minimize specification impact and save the time to discuss.</w:t>
      </w:r>
    </w:p>
    <w:p w14:paraId="460FC1A4" w14:textId="5E575FCE" w:rsidR="007C4C25" w:rsidRDefault="007C4C25" w:rsidP="007C4C25">
      <w:pPr>
        <w:pStyle w:val="rProposal"/>
      </w:pPr>
      <w:r>
        <w:t xml:space="preserve">Proposal </w:t>
      </w:r>
      <w:r w:rsidR="00FA3E65">
        <w:t>4</w:t>
      </w:r>
      <w:r>
        <w:t xml:space="preserve">: </w:t>
      </w:r>
      <w:r w:rsidR="00BD026D">
        <w:t>T</w:t>
      </w:r>
      <w:r>
        <w:t>he single DCI scheduling multiple PDSCH/PUSCH can be re-used for SPS/CG activation DCI in order to allocate multiple TOs in a periodicity with single SPS/CG configurations</w:t>
      </w:r>
      <w:r w:rsidR="00792B30">
        <w:t xml:space="preserve"> if it is supported</w:t>
      </w:r>
      <w:r>
        <w:t xml:space="preserve">. </w:t>
      </w:r>
    </w:p>
    <w:p w14:paraId="46D840E2" w14:textId="77777777" w:rsidR="00C52156" w:rsidRDefault="00C52156" w:rsidP="005812ED"/>
    <w:p w14:paraId="4C42C72B" w14:textId="6E11F6A0" w:rsidR="00F72FF9" w:rsidRDefault="00F72FF9">
      <w:pPr>
        <w:pStyle w:val="Doc"/>
      </w:pPr>
      <w:r>
        <w:t>On the other hands, some XR services use multiple data flows. For example, in general AR/VR scenarios, it is required to transfer video/audio data with pose data of AR/VR devices. In this case, a number of SPS/CG configurations can be configured for single XR service. Multiple SPS/CG configurations also can be used for GOP structure of video stream in order to cover different payload size between I-frame and P-frame. For those case, when services are switched, UE may need to activate/deactivate at once even SPS and CG together which are configured for same services. In current specification,</w:t>
      </w:r>
      <w:r w:rsidR="00C52156">
        <w:t xml:space="preserve"> UE can be indicated with at most one activation DCI per PDCCH monitoring occasion. Thus, i</w:t>
      </w:r>
      <w:r>
        <w:t xml:space="preserve">t means that it would take a time of a number of PDCCH monitoring occasion. For release, multiple SPS or CG can be jointly released by a single release DCI, however, at least two DCIs are required to release services using both SPS and CG. </w:t>
      </w:r>
    </w:p>
    <w:p w14:paraId="38DFA260" w14:textId="2D370205" w:rsidR="00F72FF9" w:rsidRDefault="00F72FF9" w:rsidP="00F72FF9">
      <w:pPr>
        <w:pStyle w:val="rProposal"/>
      </w:pPr>
      <w:r>
        <w:rPr>
          <w:rFonts w:hint="eastAsia"/>
        </w:rPr>
        <w:t xml:space="preserve">Proposal </w:t>
      </w:r>
      <w:r w:rsidR="00FA3E65">
        <w:t>5</w:t>
      </w:r>
      <w:r>
        <w:rPr>
          <w:rFonts w:hint="eastAsia"/>
        </w:rPr>
        <w:t xml:space="preserve">: </w:t>
      </w:r>
      <w:r>
        <w:t>I</w:t>
      </w:r>
      <w:r>
        <w:rPr>
          <w:rFonts w:hint="eastAsia"/>
        </w:rPr>
        <w:t xml:space="preserve">t can be considered to activate/release </w:t>
      </w:r>
      <w:r>
        <w:t xml:space="preserve">multiple </w:t>
      </w:r>
      <w:r>
        <w:rPr>
          <w:rFonts w:hint="eastAsia"/>
        </w:rPr>
        <w:t xml:space="preserve">SPS/CG </w:t>
      </w:r>
      <w:r>
        <w:t>and/</w:t>
      </w:r>
      <w:r>
        <w:rPr>
          <w:rFonts w:hint="eastAsia"/>
        </w:rPr>
        <w:t>or other semi-static configuration with le</w:t>
      </w:r>
      <w:r>
        <w:t>ast</w:t>
      </w:r>
      <w:r>
        <w:rPr>
          <w:rFonts w:hint="eastAsia"/>
        </w:rPr>
        <w:t xml:space="preserve"> number of DCI</w:t>
      </w:r>
      <w:r>
        <w:t>s</w:t>
      </w:r>
      <w:r w:rsidR="00C52156">
        <w:t xml:space="preserve"> for faster service switching.</w:t>
      </w:r>
    </w:p>
    <w:p w14:paraId="766509F9" w14:textId="77777777" w:rsidR="00F72FF9" w:rsidRDefault="00F72FF9" w:rsidP="00F72FF9">
      <w:pPr>
        <w:pStyle w:val="Doc"/>
      </w:pPr>
    </w:p>
    <w:p w14:paraId="5D96FBB9" w14:textId="414A89BD" w:rsidR="00021872" w:rsidRDefault="004A7A90" w:rsidP="00F72FF9">
      <w:pPr>
        <w:pStyle w:val="Doc"/>
        <w:rPr>
          <w:lang w:val="en-GB"/>
        </w:rPr>
      </w:pPr>
      <w:r>
        <w:rPr>
          <w:rFonts w:hint="eastAsia"/>
          <w:lang w:val="en-GB"/>
        </w:rPr>
        <w:t xml:space="preserve">Considering XR traffic </w:t>
      </w:r>
      <w:r>
        <w:rPr>
          <w:lang w:val="en-GB"/>
        </w:rPr>
        <w:t>characteristic</w:t>
      </w:r>
      <w:r>
        <w:rPr>
          <w:rFonts w:hint="eastAsia"/>
          <w:lang w:val="en-GB"/>
        </w:rPr>
        <w:t>,</w:t>
      </w:r>
      <w:r>
        <w:rPr>
          <w:lang w:val="en-GB"/>
        </w:rPr>
        <w:t xml:space="preserve"> it would be necessary to support non-integer periodicity for CG. It has been proven that non-integer periodicity mitigates misalignment of transmission occasions especially for video frames. </w:t>
      </w:r>
    </w:p>
    <w:p w14:paraId="7EBD3BEE" w14:textId="15AA8403" w:rsidR="004A7A90" w:rsidRDefault="004A7A90" w:rsidP="00F72FF9">
      <w:pPr>
        <w:pStyle w:val="Doc"/>
        <w:rPr>
          <w:lang w:val="en-GB"/>
        </w:rPr>
      </w:pPr>
      <w:r>
        <w:rPr>
          <w:lang w:val="en-GB"/>
        </w:rPr>
        <w:t xml:space="preserve">To minimize specification impact, we </w:t>
      </w:r>
      <w:r>
        <w:rPr>
          <w:rFonts w:hint="eastAsia"/>
          <w:lang w:val="en-GB"/>
        </w:rPr>
        <w:t>wou</w:t>
      </w:r>
      <w:r>
        <w:rPr>
          <w:lang w:val="en-GB"/>
        </w:rPr>
        <w:t>ld like to propose to have minor change on the equation which determines CG occasion. We only changed yellow part in the following equations, to have aligned slot boundary even with non-integer periodicity, for Type-1/2 CG.</w:t>
      </w:r>
      <w:r w:rsidR="00F764FA">
        <w:rPr>
          <w:lang w:val="en-GB"/>
        </w:rPr>
        <w:t xml:space="preserve"> In the equations, P is non-interger or interger periodicity of CG PUSCH in unit of symbols. </w:t>
      </w:r>
    </w:p>
    <w:p w14:paraId="1A737859" w14:textId="77777777" w:rsidR="004A7A90" w:rsidRPr="004A7A90" w:rsidRDefault="004A7A90" w:rsidP="004A7A90">
      <w:pPr>
        <w:pStyle w:val="Doc"/>
        <w:rPr>
          <w:b/>
          <w:lang w:val="en-GB"/>
        </w:rPr>
      </w:pPr>
      <w:r w:rsidRPr="004A7A90">
        <w:rPr>
          <w:b/>
          <w:lang w:val="en-GB"/>
        </w:rPr>
        <w:t>For Type 1 CG:</w:t>
      </w:r>
    </w:p>
    <w:p w14:paraId="5ADCA5DA" w14:textId="77777777" w:rsidR="004A7A90" w:rsidRPr="004A7A90" w:rsidRDefault="004A7A90" w:rsidP="004A7A90">
      <w:pPr>
        <w:pStyle w:val="Doc"/>
        <w:ind w:firstLine="347"/>
        <w:jc w:val="center"/>
        <w:rPr>
          <w:sz w:val="18"/>
          <w:lang w:val="en-GB"/>
        </w:rPr>
      </w:pPr>
      <w:r w:rsidRPr="004A7A90">
        <w:rPr>
          <w:sz w:val="18"/>
          <w:lang w:val="en-GB"/>
        </w:rPr>
        <w:t>[(SFN × numberOfSlotsPerFrame × numberOfSymbolsPerSlot) + (slot number in the frame × numberOfSymbolsPerSlot) + symbol number in the slot] =</w:t>
      </w:r>
    </w:p>
    <w:p w14:paraId="5DD38CE3" w14:textId="3F4F6760" w:rsidR="004A7A90" w:rsidRPr="004A7A90" w:rsidRDefault="004A7A90" w:rsidP="004A7A90">
      <w:pPr>
        <w:pStyle w:val="Doc"/>
        <w:ind w:firstLine="347"/>
        <w:jc w:val="center"/>
        <w:rPr>
          <w:sz w:val="18"/>
          <w:lang w:val="en-GB"/>
        </w:rPr>
      </w:pPr>
      <w:r w:rsidRPr="004A7A90">
        <w:rPr>
          <w:sz w:val="18"/>
          <w:lang w:val="en-GB"/>
        </w:rPr>
        <w:t xml:space="preserve">(timeReferenceSFN × numberOfSlotsPerFrame × numberOfSymbolsPerSlot + timeDomainOffset × numberOfSymbolsPerSlot + </w:t>
      </w:r>
      <w:r w:rsidRPr="004A7A90">
        <w:rPr>
          <w:sz w:val="18"/>
          <w:highlight w:val="yellow"/>
          <w:lang w:val="en-GB"/>
        </w:rPr>
        <w:t>ceil(N × P/ numberOfSymbolsPerSlot)* numberOfSymbolsPerSlot</w:t>
      </w:r>
      <w:r w:rsidRPr="004A7A90">
        <w:rPr>
          <w:sz w:val="18"/>
          <w:lang w:val="en-GB"/>
        </w:rPr>
        <w:t xml:space="preserve"> + S) modulo (1024 × numberOfSlotsPerFrame × numberOfSymbolsPerSlot).</w:t>
      </w:r>
    </w:p>
    <w:p w14:paraId="17D0C180" w14:textId="77777777" w:rsidR="004A7A90" w:rsidRPr="004A7A90" w:rsidRDefault="004A7A90" w:rsidP="004A7A90">
      <w:pPr>
        <w:pStyle w:val="Doc"/>
        <w:rPr>
          <w:lang w:val="en-GB"/>
        </w:rPr>
      </w:pPr>
    </w:p>
    <w:p w14:paraId="3E9C0798" w14:textId="77777777" w:rsidR="004A7A90" w:rsidRPr="004A7A90" w:rsidRDefault="004A7A90" w:rsidP="004A7A90">
      <w:pPr>
        <w:pStyle w:val="Doc"/>
        <w:rPr>
          <w:b/>
          <w:lang w:val="en-GB"/>
        </w:rPr>
      </w:pPr>
      <w:r w:rsidRPr="004A7A90">
        <w:rPr>
          <w:b/>
          <w:lang w:val="en-GB"/>
        </w:rPr>
        <w:t>For type 2 CG</w:t>
      </w:r>
    </w:p>
    <w:p w14:paraId="02DC1FA0" w14:textId="77777777" w:rsidR="004A7A90" w:rsidRPr="004A7A90" w:rsidRDefault="004A7A90" w:rsidP="004A7A90">
      <w:pPr>
        <w:pStyle w:val="Doc"/>
        <w:ind w:firstLine="347"/>
        <w:jc w:val="center"/>
        <w:rPr>
          <w:sz w:val="18"/>
          <w:lang w:val="en-GB"/>
        </w:rPr>
      </w:pPr>
      <w:r w:rsidRPr="004A7A90">
        <w:rPr>
          <w:sz w:val="18"/>
          <w:lang w:val="en-GB"/>
        </w:rPr>
        <w:t>[(SFN × numberOfSlotsPerFrame × numberOfSymbolsPerSlot) + (slot number in the frame × numberOfSymbolsPerSlot) + symbol number in the slot] =</w:t>
      </w:r>
    </w:p>
    <w:p w14:paraId="78CF526E" w14:textId="2A5B200B" w:rsidR="004A7A90" w:rsidRDefault="004A7A90" w:rsidP="004A7A90">
      <w:pPr>
        <w:pStyle w:val="Doc"/>
        <w:ind w:firstLine="347"/>
        <w:jc w:val="center"/>
        <w:rPr>
          <w:sz w:val="18"/>
          <w:lang w:val="en-GB"/>
        </w:rPr>
      </w:pPr>
      <w:r w:rsidRPr="004A7A90">
        <w:rPr>
          <w:sz w:val="18"/>
          <w:lang w:val="en-GB"/>
        </w:rPr>
        <w:t xml:space="preserve">[(SFNstart time × numberOfSlotsPerFrame × numberOfSymbolsPerSlot + slotstart time × numberOfSymbolsPerSlot + symbolstart time) + </w:t>
      </w:r>
      <w:r w:rsidRPr="004A7A90">
        <w:rPr>
          <w:sz w:val="18"/>
          <w:highlight w:val="yellow"/>
          <w:lang w:val="en-GB"/>
        </w:rPr>
        <w:t>ceil(N × P/ numberOfSymbolsPerSlot)* numberOfSymbolsPerSlot</w:t>
      </w:r>
      <w:r w:rsidRPr="004A7A90">
        <w:rPr>
          <w:sz w:val="18"/>
          <w:lang w:val="en-GB"/>
        </w:rPr>
        <w:t>] modulo (1024 × numberOfSlotsPerFrame × numberOfSymbolsPerSlot).</w:t>
      </w:r>
    </w:p>
    <w:p w14:paraId="5569FEFD" w14:textId="77777777" w:rsidR="008F7ACD" w:rsidRPr="005812ED" w:rsidRDefault="008F7ACD" w:rsidP="005812ED">
      <w:pPr>
        <w:pStyle w:val="Doc"/>
        <w:rPr>
          <w:lang w:val="en-GB"/>
        </w:rPr>
      </w:pPr>
    </w:p>
    <w:p w14:paraId="5E681C08" w14:textId="3D07B224" w:rsidR="008F7ACD" w:rsidRPr="005812ED" w:rsidRDefault="008F7ACD" w:rsidP="005812ED">
      <w:pPr>
        <w:pStyle w:val="Doc"/>
        <w:rPr>
          <w:lang w:val="en-GB"/>
        </w:rPr>
      </w:pPr>
      <w:r w:rsidRPr="005812ED">
        <w:rPr>
          <w:lang w:val="en-GB"/>
        </w:rPr>
        <w:t xml:space="preserve">In same manner, </w:t>
      </w:r>
      <w:r>
        <w:rPr>
          <w:lang w:val="en-GB"/>
        </w:rPr>
        <w:t xml:space="preserve">non-integer periodicity can be </w:t>
      </w:r>
      <w:r w:rsidR="005771A0">
        <w:rPr>
          <w:lang w:val="en-GB"/>
        </w:rPr>
        <w:t xml:space="preserve">easily </w:t>
      </w:r>
      <w:r>
        <w:rPr>
          <w:lang w:val="en-GB"/>
        </w:rPr>
        <w:t xml:space="preserve">supported for SPS as well. </w:t>
      </w:r>
      <w:r w:rsidR="00F764FA">
        <w:rPr>
          <w:lang w:val="en-GB"/>
        </w:rPr>
        <w:t>Periodicity is non-interger or interger periodicity of SPS PDSCH in unit of milliseconds.</w:t>
      </w:r>
    </w:p>
    <w:p w14:paraId="08620F49" w14:textId="77777777" w:rsidR="004A7A90" w:rsidRPr="004A7A90" w:rsidRDefault="004A7A90" w:rsidP="004A7A90">
      <w:pPr>
        <w:pStyle w:val="Doc"/>
        <w:rPr>
          <w:b/>
          <w:lang w:val="en-GB"/>
        </w:rPr>
      </w:pPr>
      <w:r w:rsidRPr="004A7A90">
        <w:rPr>
          <w:b/>
          <w:lang w:val="en-GB"/>
        </w:rPr>
        <w:t>For SPS</w:t>
      </w:r>
    </w:p>
    <w:p w14:paraId="437255DC" w14:textId="34F11E57" w:rsidR="00F72FF9" w:rsidRPr="004A7A90" w:rsidRDefault="004A7A90" w:rsidP="004A7A90">
      <w:pPr>
        <w:pStyle w:val="Doc"/>
        <w:ind w:firstLine="347"/>
        <w:jc w:val="center"/>
        <w:rPr>
          <w:sz w:val="18"/>
          <w:lang w:val="en-GB"/>
        </w:rPr>
      </w:pPr>
      <w:r w:rsidRPr="004A7A90">
        <w:rPr>
          <w:sz w:val="18"/>
          <w:lang w:val="en-GB"/>
        </w:rPr>
        <w:t xml:space="preserve">(numberOfSlotsPerFrame × SFN + slot number in the frame) = [(numberOfSlotsPerFrame × SFNstart time + slotstart time) + </w:t>
      </w:r>
      <w:r w:rsidRPr="004A7A90">
        <w:rPr>
          <w:sz w:val="18"/>
          <w:highlight w:val="yellow"/>
          <w:lang w:val="en-GB"/>
        </w:rPr>
        <w:t>ceil(N × periodicity)</w:t>
      </w:r>
      <w:r w:rsidRPr="004A7A90">
        <w:rPr>
          <w:sz w:val="18"/>
          <w:lang w:val="en-GB"/>
        </w:rPr>
        <w:t xml:space="preserve"> × numberOfSlotsPerFrame / 10] modulo (1024 × numberOfSlotsPerFrame)</w:t>
      </w:r>
    </w:p>
    <w:p w14:paraId="49C28DCE" w14:textId="77777777" w:rsidR="004A7A90" w:rsidRDefault="004A7A90" w:rsidP="00F72FF9">
      <w:pPr>
        <w:pStyle w:val="Doc"/>
      </w:pPr>
    </w:p>
    <w:p w14:paraId="66BEE1B9" w14:textId="716026AF" w:rsidR="004A7A90" w:rsidRDefault="009347E5" w:rsidP="00F72FF9">
      <w:pPr>
        <w:pStyle w:val="Doc"/>
      </w:pPr>
      <w:r>
        <w:t>In the case of 15kHz subcarrier spacing, w</w:t>
      </w:r>
      <w:r w:rsidR="004A7A90">
        <w:t xml:space="preserve">ith current specification without those changes, SPS with 16ms periodicity can serve the traffic having 16.67ms </w:t>
      </w:r>
      <w:r w:rsidR="00DF3855">
        <w:t xml:space="preserve">with 7.7ms (=108 symbols) of average </w:t>
      </w:r>
      <w:r w:rsidR="00B71367">
        <w:t>waiting time from traffic arrival to transmission occasion</w:t>
      </w:r>
      <w:r w:rsidR="00DF3855">
        <w:t xml:space="preserve">. </w:t>
      </w:r>
      <w:r w:rsidR="00F15EFA">
        <w:t>On the other hand</w:t>
      </w:r>
      <w:r w:rsidR="00DF3855">
        <w:t xml:space="preserve">, with modified equation, SPS with 16.67ms </w:t>
      </w:r>
      <w:r w:rsidR="00DF3855">
        <w:lastRenderedPageBreak/>
        <w:t>periodicity can serve the traffic having same</w:t>
      </w:r>
      <w:r>
        <w:t xml:space="preserve"> periodicity only with 0.33ms (=4</w:t>
      </w:r>
      <w:r w:rsidR="00DF3855">
        <w:t>.65 symbols) of average delay</w:t>
      </w:r>
      <w:r w:rsidR="000B556C">
        <w:t xml:space="preserve">. In our view, the performance benefit are clear comparing expected specification impact. </w:t>
      </w:r>
    </w:p>
    <w:p w14:paraId="1A270A32" w14:textId="77777777" w:rsidR="004A7A90" w:rsidRDefault="004A7A90" w:rsidP="00F72FF9">
      <w:pPr>
        <w:pStyle w:val="Doc"/>
      </w:pPr>
    </w:p>
    <w:p w14:paraId="1E1BD83F" w14:textId="504B03A2" w:rsidR="004A7A90" w:rsidRDefault="005D75EB" w:rsidP="004A7A90">
      <w:pPr>
        <w:pStyle w:val="Doc"/>
        <w:jc w:val="center"/>
      </w:pPr>
      <w:r>
        <w:rPr>
          <w:noProof/>
        </w:rPr>
        <w:drawing>
          <wp:inline distT="0" distB="0" distL="0" distR="0" wp14:anchorId="488C8209" wp14:editId="6F815948">
            <wp:extent cx="3705225" cy="23907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5225" cy="2390775"/>
                    </a:xfrm>
                    <a:prstGeom prst="rect">
                      <a:avLst/>
                    </a:prstGeom>
                    <a:noFill/>
                  </pic:spPr>
                </pic:pic>
              </a:graphicData>
            </a:graphic>
          </wp:inline>
        </w:drawing>
      </w:r>
    </w:p>
    <w:p w14:paraId="68D74E04" w14:textId="1A6C6508" w:rsidR="005D75EB" w:rsidRDefault="005D75EB" w:rsidP="004A7A90">
      <w:pPr>
        <w:pStyle w:val="Doc"/>
        <w:jc w:val="center"/>
      </w:pPr>
      <w:r>
        <w:rPr>
          <w:rFonts w:hint="eastAsia"/>
        </w:rPr>
        <w:t>Fig. 1 Average delay for periodicities of 16</w:t>
      </w:r>
      <w:r>
        <w:t>ms</w:t>
      </w:r>
      <w:r>
        <w:rPr>
          <w:rFonts w:hint="eastAsia"/>
        </w:rPr>
        <w:t>, 1/60</w:t>
      </w:r>
      <w:r>
        <w:t>s</w:t>
      </w:r>
      <w:r>
        <w:rPr>
          <w:rFonts w:hint="eastAsia"/>
        </w:rPr>
        <w:t>(</w:t>
      </w:r>
      <w:r>
        <w:rPr>
          <w:rFonts w:ascii="맑은 고딕" w:hAnsi="맑은 고딕" w:hint="eastAsia"/>
        </w:rPr>
        <w:t>≒</w:t>
      </w:r>
      <w:r>
        <w:t>16.67ms) and 17ms</w:t>
      </w:r>
    </w:p>
    <w:p w14:paraId="2D43B684" w14:textId="469DAA6E" w:rsidR="004A7A90" w:rsidRDefault="00DF3855" w:rsidP="00DF3855">
      <w:pPr>
        <w:pStyle w:val="rProposal"/>
      </w:pPr>
      <w:r>
        <w:rPr>
          <w:rFonts w:hint="eastAsia"/>
        </w:rPr>
        <w:t>Proposal</w:t>
      </w:r>
      <w:r w:rsidR="00A4161E">
        <w:t xml:space="preserve"> </w:t>
      </w:r>
      <w:r w:rsidR="00FA3E65">
        <w:t>6</w:t>
      </w:r>
      <w:r w:rsidR="00FA3E65">
        <w:rPr>
          <w:rFonts w:hint="eastAsia"/>
        </w:rPr>
        <w:t xml:space="preserve"> </w:t>
      </w:r>
      <w:r>
        <w:rPr>
          <w:rFonts w:hint="eastAsia"/>
        </w:rPr>
        <w:t>:</w:t>
      </w:r>
      <w:r>
        <w:t xml:space="preserve"> Support non-integer periodicities by modified equation determining SPS/CG occasions. </w:t>
      </w:r>
    </w:p>
    <w:p w14:paraId="59F83162" w14:textId="663FE7C7" w:rsidR="00DF3855" w:rsidRPr="00DF3855" w:rsidRDefault="00DF3855" w:rsidP="00DF3855">
      <w:pPr>
        <w:pStyle w:val="rProposal"/>
        <w:numPr>
          <w:ilvl w:val="0"/>
          <w:numId w:val="24"/>
        </w:numPr>
        <w:ind w:firstLineChars="0"/>
      </w:pPr>
      <w:r>
        <w:rPr>
          <w:rFonts w:hint="eastAsia"/>
        </w:rPr>
        <w:t>FFS:</w:t>
      </w:r>
      <w:r>
        <w:t xml:space="preserve"> </w:t>
      </w:r>
      <w:r w:rsidR="00ED42CC">
        <w:t>How to a</w:t>
      </w:r>
      <w:r w:rsidR="000B556C">
        <w:t xml:space="preserve">dd non-integer periodicities to current periodicity parameter. </w:t>
      </w:r>
    </w:p>
    <w:p w14:paraId="0F363310" w14:textId="77777777" w:rsidR="00DF3855" w:rsidRDefault="00DF3855" w:rsidP="00DF3855">
      <w:pPr>
        <w:rPr>
          <w:rFonts w:eastAsiaTheme="minorEastAsia"/>
          <w:lang w:eastAsia="ko-KR"/>
        </w:rPr>
      </w:pPr>
    </w:p>
    <w:p w14:paraId="2D51A3A9" w14:textId="77777777" w:rsidR="00DF3855" w:rsidRPr="00ED42CC" w:rsidRDefault="00DF3855" w:rsidP="00DF3855">
      <w:pPr>
        <w:rPr>
          <w:rFonts w:eastAsiaTheme="minorEastAsia"/>
          <w:lang w:eastAsia="ko-KR"/>
        </w:rPr>
      </w:pPr>
    </w:p>
    <w:p w14:paraId="23DB7F9B" w14:textId="77777777" w:rsidR="00C52156" w:rsidRDefault="00C52156" w:rsidP="00C52156">
      <w:pPr>
        <w:pStyle w:val="2"/>
      </w:pPr>
      <w:r>
        <w:t>Dynamic scheduling</w:t>
      </w:r>
      <w:r w:rsidRPr="008F605A">
        <w:t xml:space="preserve"> enhancement for XR-specific capacity improvement</w:t>
      </w:r>
    </w:p>
    <w:p w14:paraId="6DB6CED0" w14:textId="0D070935" w:rsidR="005771A0" w:rsidRDefault="005771A0" w:rsidP="00C52156">
      <w:pPr>
        <w:pStyle w:val="Doc"/>
      </w:pPr>
      <w:r>
        <w:rPr>
          <w:rFonts w:hint="eastAsia"/>
        </w:rPr>
        <w:t xml:space="preserve">In the last meeting, there is a consensus not to </w:t>
      </w:r>
      <w:r>
        <w:t>consider</w:t>
      </w:r>
      <w:r>
        <w:rPr>
          <w:rFonts w:hint="eastAsia"/>
        </w:rPr>
        <w:t xml:space="preserve"> PDCCH overhead/blockage issues </w:t>
      </w:r>
      <w:r w:rsidR="00FA3E65">
        <w:t xml:space="preserve">for AR/VR/CG traffic except for </w:t>
      </w:r>
      <w:r w:rsidR="00FA3E65" w:rsidRPr="00FA3E65">
        <w:t>UL pose and control traffic</w:t>
      </w:r>
      <w:r w:rsidR="00FA3E65">
        <w:t xml:space="preserve">, since the number of satisfied UE in a cell are around of 10. </w:t>
      </w:r>
    </w:p>
    <w:p w14:paraId="61F8F557" w14:textId="181E2215" w:rsidR="00FA3E65" w:rsidRDefault="00FA3E65" w:rsidP="00C52156">
      <w:pPr>
        <w:pStyle w:val="Doc"/>
      </w:pPr>
      <w:r>
        <w:t xml:space="preserve">If PDCCH overhead is not an issue, there wouldn’t be performance benefit to support </w:t>
      </w:r>
      <w:r w:rsidRPr="00F72FF9">
        <w:t>single DCI scheduling multi-PDSCHs/PUSCHs</w:t>
      </w:r>
      <w:r>
        <w:t xml:space="preserve"> for XR capacity improvement. Since the single DCI scheduling </w:t>
      </w:r>
      <w:r w:rsidRPr="00F72FF9">
        <w:t>multi-PDSCHs/PUSCHs</w:t>
      </w:r>
      <w:r>
        <w:t xml:space="preserve"> could only save the number of DCI with less flexibility as trade-off. Nevertheless, less number of DCI could help changing services faster, and multi-</w:t>
      </w:r>
      <w:r w:rsidRPr="00F72FF9">
        <w:t>PUSCHs</w:t>
      </w:r>
      <w:r>
        <w:t xml:space="preserve"> can be utilized for CG enhancement in order to support multiple CG occasion in a period. Thus, it would be beneficial to support </w:t>
      </w:r>
      <w:r w:rsidRPr="00F72FF9">
        <w:t>single DCI scheduling multi-PDSCHs/PUSCHs</w:t>
      </w:r>
      <w:r>
        <w:t xml:space="preserve"> for XR if specification impact can be minimized.</w:t>
      </w:r>
    </w:p>
    <w:p w14:paraId="42AD931D" w14:textId="77777777" w:rsidR="00C52156" w:rsidRDefault="00C52156" w:rsidP="00C52156">
      <w:pPr>
        <w:pStyle w:val="Doc"/>
      </w:pPr>
      <w:r>
        <w:rPr>
          <w:rFonts w:hint="eastAsia"/>
        </w:rPr>
        <w:t xml:space="preserve">One thing is </w:t>
      </w:r>
      <w:r>
        <w:t xml:space="preserve">that </w:t>
      </w:r>
      <w:r>
        <w:rPr>
          <w:rFonts w:hint="eastAsia"/>
        </w:rPr>
        <w:t xml:space="preserve">the </w:t>
      </w:r>
      <w:r>
        <w:t>capability</w:t>
      </w:r>
      <w:r>
        <w:rPr>
          <w:rFonts w:hint="eastAsia"/>
        </w:rPr>
        <w:t xml:space="preserve"> </w:t>
      </w:r>
      <w:r>
        <w:t xml:space="preserve">supporting multi-PUSCH scheduling is for unlicensed-band operation and it has been extended as multi-PUSCH/PDSCH scheduling for higher frequency range like FR2-2. Thus, currently it is not possible to re-use the capability for XR in FR1/2. It would be necessary to wait outcome of related UE feature discussion. </w:t>
      </w:r>
    </w:p>
    <w:p w14:paraId="17F18E36" w14:textId="3804A164" w:rsidR="00C52156" w:rsidRDefault="00C52156" w:rsidP="00C52156">
      <w:pPr>
        <w:pStyle w:val="rProposal"/>
      </w:pPr>
      <w:r>
        <w:rPr>
          <w:rFonts w:hint="eastAsia"/>
        </w:rPr>
        <w:lastRenderedPageBreak/>
        <w:t>Proposal</w:t>
      </w:r>
      <w:r>
        <w:t xml:space="preserve"> </w:t>
      </w:r>
      <w:r w:rsidR="00FA3E65">
        <w:t>7</w:t>
      </w:r>
      <w:r>
        <w:rPr>
          <w:rFonts w:hint="eastAsia"/>
        </w:rPr>
        <w:t xml:space="preserve">: </w:t>
      </w:r>
      <w:r w:rsidRPr="00962A84">
        <w:t xml:space="preserve">It is </w:t>
      </w:r>
      <w:r>
        <w:t xml:space="preserve">beneficial </w:t>
      </w:r>
      <w:r w:rsidRPr="00962A84">
        <w:t>to re-use</w:t>
      </w:r>
      <w:r>
        <w:t xml:space="preserve"> the </w:t>
      </w:r>
      <w:r w:rsidRPr="00962A84">
        <w:t>UE capability of single DCI scheduling multi-PDSCHs/PUSCHs for XR capacity improvement</w:t>
      </w:r>
      <w:r>
        <w:t>.</w:t>
      </w:r>
    </w:p>
    <w:p w14:paraId="28E97CD1" w14:textId="77777777" w:rsidR="00C52156" w:rsidRDefault="00C52156" w:rsidP="00C52156">
      <w:pPr>
        <w:pStyle w:val="rProposal"/>
        <w:numPr>
          <w:ilvl w:val="0"/>
          <w:numId w:val="24"/>
        </w:numPr>
        <w:ind w:firstLineChars="0"/>
      </w:pPr>
      <w:r>
        <w:t xml:space="preserve">It is necessary to wait </w:t>
      </w:r>
      <w:r w:rsidRPr="00962A84">
        <w:t>the outcome of Rel-17 B52.6G UE feature discussion</w:t>
      </w:r>
      <w:r>
        <w:t xml:space="preserve">. </w:t>
      </w:r>
    </w:p>
    <w:p w14:paraId="2066378B" w14:textId="63213436" w:rsidR="00C52156" w:rsidRDefault="00C52156" w:rsidP="00C52156">
      <w:pPr>
        <w:pStyle w:val="Doc"/>
      </w:pPr>
      <w:r>
        <w:t xml:space="preserve">Once the </w:t>
      </w:r>
      <w:r w:rsidRPr="00FF63E6">
        <w:t>single DCI scheduling multi-PDSCHs/PUSCHs</w:t>
      </w:r>
      <w:r>
        <w:t xml:space="preserve"> is supported for XR, gNB would be able to control PDSCH/PUSCH resource size according to XR traffic pattern, like I/P video frame. Considering PDB for XR services, </w:t>
      </w:r>
      <w:r w:rsidR="00FA3E65">
        <w:t>it was proposed to r</w:t>
      </w:r>
      <w:r>
        <w:t>eport</w:t>
      </w:r>
      <w:r w:rsidR="00FA3E65">
        <w:t xml:space="preserve"> HARQ-ACK</w:t>
      </w:r>
      <w:r>
        <w:t xml:space="preserve"> in the middle of multiple PDSCH receptions</w:t>
      </w:r>
      <w:r w:rsidR="00FA3E65">
        <w:t xml:space="preserve"> scheduled by single DCI. However, if DCI overhead is not an issue, it would be sufficient to send two DCI scheduling multi-PDSCHs, in order to have two of HARQ-ACK timings.</w:t>
      </w:r>
    </w:p>
    <w:p w14:paraId="0C6D8C44" w14:textId="73797FA8" w:rsidR="00C52156" w:rsidRDefault="00C52156" w:rsidP="00C52156">
      <w:pPr>
        <w:pStyle w:val="rProposal"/>
      </w:pPr>
      <w:r>
        <w:rPr>
          <w:rFonts w:hint="eastAsia"/>
        </w:rPr>
        <w:t>Proposal</w:t>
      </w:r>
      <w:r>
        <w:t xml:space="preserve"> </w:t>
      </w:r>
      <w:r w:rsidR="00CA0F13">
        <w:t>8</w:t>
      </w:r>
      <w:r>
        <w:rPr>
          <w:rFonts w:hint="eastAsia"/>
        </w:rPr>
        <w:t xml:space="preserve">: </w:t>
      </w:r>
      <w:r w:rsidRPr="00962A84">
        <w:t>It is</w:t>
      </w:r>
      <w:r w:rsidR="00FA3E65">
        <w:t xml:space="preserve"> not</w:t>
      </w:r>
      <w:r w:rsidRPr="00962A84">
        <w:t xml:space="preserve"> </w:t>
      </w:r>
      <w:r>
        <w:t xml:space="preserve">necessary </w:t>
      </w:r>
      <w:r w:rsidRPr="00962A84">
        <w:t xml:space="preserve">to </w:t>
      </w:r>
      <w:r>
        <w:t>investigate enhanced HARQ-ACK timing for</w:t>
      </w:r>
      <w:r w:rsidRPr="00962A84">
        <w:t xml:space="preserve"> single DCI scheduling multi-PDSCHs</w:t>
      </w:r>
      <w:r w:rsidR="00FA3E65">
        <w:t>.</w:t>
      </w:r>
    </w:p>
    <w:p w14:paraId="61AACC17" w14:textId="6F32C12D" w:rsidR="00C52156" w:rsidRPr="00FF63E6" w:rsidRDefault="00C52156" w:rsidP="00C52156">
      <w:pPr>
        <w:pStyle w:val="Doc"/>
        <w:rPr>
          <w:lang w:val="en-GB"/>
        </w:rPr>
      </w:pPr>
    </w:p>
    <w:p w14:paraId="706481D1" w14:textId="7D258F1C" w:rsidR="00C52156" w:rsidRDefault="00C52156" w:rsidP="00C52156">
      <w:pPr>
        <w:pStyle w:val="Doc"/>
      </w:pPr>
      <w:r>
        <w:t xml:space="preserve">In case of uplink, SR may be transmitted for requesting dynamic scheduling. Considering stringent requirement of XR service, any kind of SR enhancement can be considered. SR enhancement would be dependent </w:t>
      </w:r>
      <w:r>
        <w:rPr>
          <w:lang w:val="en-GB"/>
        </w:rPr>
        <w:t>whether it is possible for UE and gNB to exchange higher layer information including XR-specific traffic characteristic</w:t>
      </w:r>
      <w:r w:rsidR="00FA3E65">
        <w:rPr>
          <w:lang w:val="en-GB"/>
        </w:rPr>
        <w:t xml:space="preserve"> (a.k.a., XR-awareness)</w:t>
      </w:r>
      <w:r>
        <w:rPr>
          <w:lang w:val="en-GB"/>
        </w:rPr>
        <w:t xml:space="preserve">. </w:t>
      </w:r>
    </w:p>
    <w:p w14:paraId="5AD52B9B" w14:textId="24F01617" w:rsidR="00C52156" w:rsidRPr="00EF5695" w:rsidRDefault="00C52156" w:rsidP="00C52156">
      <w:pPr>
        <w:pStyle w:val="rProposal"/>
      </w:pPr>
      <w:r>
        <w:t xml:space="preserve">Proposal </w:t>
      </w:r>
      <w:r w:rsidR="00CA0F13">
        <w:t>9</w:t>
      </w:r>
      <w:r>
        <w:t xml:space="preserve">: </w:t>
      </w:r>
      <w:r>
        <w:rPr>
          <w:rFonts w:hint="eastAsia"/>
          <w:lang w:val="en-US"/>
        </w:rPr>
        <w:t>For XR-s</w:t>
      </w:r>
      <w:r>
        <w:rPr>
          <w:lang w:val="en-US"/>
        </w:rPr>
        <w:t>pecific capacity improvement, enhancement on SR/BSR can be considered.</w:t>
      </w:r>
    </w:p>
    <w:p w14:paraId="3EF6BCBD" w14:textId="77777777" w:rsidR="00C52156" w:rsidRDefault="00C52156" w:rsidP="00C52156">
      <w:pPr>
        <w:pStyle w:val="Doc"/>
        <w:rPr>
          <w:lang w:val="en-GB"/>
        </w:rPr>
      </w:pPr>
      <w:r>
        <w:rPr>
          <w:lang w:val="en-GB"/>
        </w:rPr>
        <w:t>I</w:t>
      </w:r>
      <w:r>
        <w:rPr>
          <w:rFonts w:hint="eastAsia"/>
          <w:lang w:val="en-GB"/>
        </w:rPr>
        <w:t xml:space="preserve">f PDB </w:t>
      </w:r>
      <w:r>
        <w:rPr>
          <w:lang w:val="en-GB"/>
        </w:rPr>
        <w:t>information</w:t>
      </w:r>
      <w:r>
        <w:rPr>
          <w:rFonts w:hint="eastAsia"/>
          <w:lang w:val="en-GB"/>
        </w:rPr>
        <w:t xml:space="preserve"> </w:t>
      </w:r>
      <w:r>
        <w:rPr>
          <w:lang w:val="en-GB"/>
        </w:rPr>
        <w:t xml:space="preserve">can be considered in the MAC layer, it would be beneficial to indicate required PDB in scheduling request. For example, 2-bit SR can be considered for PDB indication. Then, UE can request UL resource which meets PDB requirement for certain logical channel. Or, UE can report least PDB of data in UE buffer via BSR information. </w:t>
      </w:r>
    </w:p>
    <w:p w14:paraId="1AB379ED" w14:textId="298C4002" w:rsidR="00C52156" w:rsidRPr="00EF5695" w:rsidRDefault="00C52156" w:rsidP="00C52156">
      <w:pPr>
        <w:pStyle w:val="rProposal"/>
      </w:pPr>
      <w:r>
        <w:t xml:space="preserve">Proposal </w:t>
      </w:r>
      <w:r w:rsidR="00CA0F13">
        <w:t>10</w:t>
      </w:r>
      <w:r>
        <w:t>: If scheduling techniques for</w:t>
      </w:r>
      <w:r w:rsidRPr="00167001">
        <w:t xml:space="preserve"> XR-awareness information </w:t>
      </w:r>
      <w:r>
        <w:t>is supported,</w:t>
      </w:r>
      <w:r>
        <w:rPr>
          <w:lang w:val="en-US"/>
        </w:rPr>
        <w:t xml:space="preserve"> PDB information can be reported via SR/BSR</w:t>
      </w:r>
      <w:r w:rsidRPr="00167001">
        <w:rPr>
          <w:rFonts w:hint="eastAsia"/>
          <w:lang w:val="en-US"/>
        </w:rPr>
        <w:t xml:space="preserve"> </w:t>
      </w:r>
      <w:r>
        <w:rPr>
          <w:rFonts w:hint="eastAsia"/>
          <w:lang w:val="en-US"/>
        </w:rPr>
        <w:t>for XR-s</w:t>
      </w:r>
      <w:r>
        <w:rPr>
          <w:lang w:val="en-US"/>
        </w:rPr>
        <w:t>pecific capacity improvement</w:t>
      </w:r>
    </w:p>
    <w:p w14:paraId="622BBD97" w14:textId="77777777" w:rsidR="00302571" w:rsidRDefault="00C52156" w:rsidP="00302571">
      <w:pPr>
        <w:pStyle w:val="Doc"/>
        <w:rPr>
          <w:lang w:val="en-GB"/>
        </w:rPr>
      </w:pPr>
      <w:r>
        <w:rPr>
          <w:lang w:val="en-GB"/>
        </w:rPr>
        <w:t>Some</w:t>
      </w:r>
      <w:r>
        <w:rPr>
          <w:rFonts w:hint="eastAsia"/>
          <w:lang w:val="en-GB"/>
        </w:rPr>
        <w:t xml:space="preserve"> </w:t>
      </w:r>
      <w:r>
        <w:rPr>
          <w:lang w:val="en-GB"/>
        </w:rPr>
        <w:t xml:space="preserve">XR traffic requires periodic resources. Therefore, it would be beneficial to request SPS/CG activation DCI via SR/BSR. Clearly, this could save the number of DCI until the gNB gets a traffic information from the UE. </w:t>
      </w:r>
      <w:r w:rsidR="00302571">
        <w:rPr>
          <w:lang w:val="en-GB"/>
        </w:rPr>
        <w:t xml:space="preserve">On the other hand, UE can report how many symbol/slots are misaligned between traffic arrivals and resource scheduled. Based on that, gNB can adjust time domain resource of CG PUSCH or SR resource. </w:t>
      </w:r>
    </w:p>
    <w:p w14:paraId="725935B6" w14:textId="77777777" w:rsidR="00C52156" w:rsidRDefault="00C52156" w:rsidP="00C52156">
      <w:pPr>
        <w:pStyle w:val="Doc"/>
        <w:rPr>
          <w:lang w:val="en-GB"/>
        </w:rPr>
      </w:pPr>
    </w:p>
    <w:p w14:paraId="71214166" w14:textId="6405B5FE" w:rsidR="003420EE" w:rsidRDefault="003420EE" w:rsidP="003420EE">
      <w:pPr>
        <w:pStyle w:val="2"/>
      </w:pPr>
      <w:r>
        <w:t xml:space="preserve">Link adaptation </w:t>
      </w:r>
      <w:r w:rsidRPr="003420EE">
        <w:t>to improve XR capacity</w:t>
      </w:r>
    </w:p>
    <w:p w14:paraId="2E34BF3D" w14:textId="232B6608" w:rsidR="003420EE" w:rsidRDefault="005A0871" w:rsidP="005A0871">
      <w:pPr>
        <w:pStyle w:val="Doc"/>
      </w:pPr>
      <w:r>
        <w:rPr>
          <w:rFonts w:hint="eastAsia"/>
        </w:rPr>
        <w:t>I</w:t>
      </w:r>
      <w:r>
        <w:t xml:space="preserve">n the last meeting, link adaptation techniques such as delta-MCS, Soft HARQ-ACK feedback and CSI report enhancement are proposed and discussed. In general, enhanced link adaptation could achieve faster and correct channel estimation, so that overall system throughput could be increased. However, in the perspective of XR, we think it is difficult to say that link adaptation could be XR-specific. </w:t>
      </w:r>
    </w:p>
    <w:p w14:paraId="6E89BDBB" w14:textId="3B869863" w:rsidR="003420EE" w:rsidRDefault="005D75EB" w:rsidP="005A0871">
      <w:pPr>
        <w:pStyle w:val="Doc"/>
        <w:rPr>
          <w:rFonts w:eastAsiaTheme="minorEastAsia"/>
        </w:rPr>
      </w:pPr>
      <w:r>
        <w:rPr>
          <w:rFonts w:eastAsiaTheme="minorEastAsia"/>
        </w:rPr>
        <w:lastRenderedPageBreak/>
        <w:t xml:space="preserve">To be </w:t>
      </w:r>
      <w:r>
        <w:t xml:space="preserve">XR-specific, in our view, the techniques has beneficial point for XR scenarios or XR traffic characteristic. </w:t>
      </w:r>
      <w:r>
        <w:rPr>
          <w:rFonts w:eastAsiaTheme="minorEastAsia"/>
        </w:rPr>
        <w:t xml:space="preserve">Meanwhile, </w:t>
      </w:r>
      <w:r w:rsidR="003420EE" w:rsidRPr="003420EE">
        <w:rPr>
          <w:rFonts w:eastAsiaTheme="minorEastAsia"/>
        </w:rPr>
        <w:t>XR scenario generally assumes</w:t>
      </w:r>
      <w:r w:rsidR="005A0871">
        <w:rPr>
          <w:rFonts w:eastAsiaTheme="minorEastAsia"/>
        </w:rPr>
        <w:t xml:space="preserve"> periodic traffic for a long time. Considering that, the benefit of faster channel estimation would be limited to only first few transmissions</w:t>
      </w:r>
      <w:r>
        <w:rPr>
          <w:rFonts w:eastAsiaTheme="minorEastAsia"/>
        </w:rPr>
        <w:t xml:space="preserve"> for XR</w:t>
      </w:r>
      <w:r w:rsidR="005A0871">
        <w:rPr>
          <w:rFonts w:eastAsiaTheme="minorEastAsia"/>
        </w:rPr>
        <w:t xml:space="preserve">. Also, </w:t>
      </w:r>
      <w:r>
        <w:rPr>
          <w:rFonts w:eastAsiaTheme="minorEastAsia"/>
        </w:rPr>
        <w:t>i</w:t>
      </w:r>
      <w:r w:rsidR="003420EE" w:rsidRPr="003420EE">
        <w:rPr>
          <w:rFonts w:eastAsiaTheme="minorEastAsia"/>
        </w:rPr>
        <w:t>f it is discussed in terms of capacity, the trade-off between existing CSI and proposed</w:t>
      </w:r>
      <w:r w:rsidR="005A0871">
        <w:rPr>
          <w:rFonts w:eastAsiaTheme="minorEastAsia"/>
        </w:rPr>
        <w:t xml:space="preserve"> </w:t>
      </w:r>
      <w:r w:rsidR="003420EE" w:rsidRPr="003420EE">
        <w:rPr>
          <w:rFonts w:eastAsiaTheme="minorEastAsia"/>
        </w:rPr>
        <w:t>enhancement in terms of resource overhead should be identified first, as it affects UL capacity performance.</w:t>
      </w:r>
    </w:p>
    <w:p w14:paraId="6719AFF6" w14:textId="4799D2D3" w:rsidR="00BA0258" w:rsidRPr="00BA0258" w:rsidRDefault="00BA0258" w:rsidP="005A0871">
      <w:pPr>
        <w:pStyle w:val="Doc"/>
        <w:rPr>
          <w:rFonts w:eastAsiaTheme="minorEastAsia"/>
        </w:rPr>
      </w:pPr>
      <w:r w:rsidRPr="00BA0258">
        <w:rPr>
          <w:rFonts w:eastAsiaTheme="minorEastAsia"/>
        </w:rPr>
        <w:t>Enhanced CQI based CBG</w:t>
      </w:r>
      <w:r>
        <w:rPr>
          <w:rFonts w:eastAsiaTheme="minorEastAsia"/>
        </w:rPr>
        <w:t xml:space="preserve"> could be XR-specific, since CBG operation has beneficial point for XR services. However, as gNB is able to schedule PDSCH/PUSCH repetition only with 10</w:t>
      </w:r>
      <w:r>
        <w:rPr>
          <w:rFonts w:eastAsiaTheme="minorEastAsia"/>
          <w:vertAlign w:val="superscript"/>
        </w:rPr>
        <w:t>-1</w:t>
      </w:r>
      <w:r>
        <w:rPr>
          <w:rFonts w:eastAsiaTheme="minorEastAsia"/>
          <w:vertAlign w:val="subscript"/>
        </w:rPr>
        <w:t xml:space="preserve"> </w:t>
      </w:r>
      <w:r>
        <w:rPr>
          <w:rFonts w:eastAsiaTheme="minorEastAsia"/>
        </w:rPr>
        <w:t>and 10</w:t>
      </w:r>
      <w:r>
        <w:rPr>
          <w:rFonts w:eastAsiaTheme="minorEastAsia"/>
        </w:rPr>
        <w:softHyphen/>
      </w:r>
      <w:r>
        <w:rPr>
          <w:rFonts w:eastAsiaTheme="minorEastAsia"/>
          <w:vertAlign w:val="superscript"/>
        </w:rPr>
        <w:t>-5</w:t>
      </w:r>
      <w:r>
        <w:rPr>
          <w:rFonts w:eastAsiaTheme="minorEastAsia"/>
        </w:rPr>
        <w:t xml:space="preserve"> </w:t>
      </w:r>
      <w:r w:rsidRPr="00BA0258">
        <w:rPr>
          <w:rFonts w:eastAsiaTheme="minorEastAsia"/>
        </w:rPr>
        <w:t>transport block error probability</w:t>
      </w:r>
      <w:r w:rsidR="0049502B">
        <w:rPr>
          <w:rFonts w:eastAsiaTheme="minorEastAsia"/>
        </w:rPr>
        <w:t xml:space="preserve"> of CQI, g</w:t>
      </w:r>
      <w:r w:rsidR="009C5CE4">
        <w:rPr>
          <w:rFonts w:eastAsiaTheme="minorEastAsia"/>
        </w:rPr>
        <w:t xml:space="preserve">NB is also able to schedule CBGs with considering </w:t>
      </w:r>
      <w:r w:rsidR="00CA0F13">
        <w:rPr>
          <w:rFonts w:eastAsiaTheme="minorEastAsia"/>
        </w:rPr>
        <w:t>CBG error probabilities.</w:t>
      </w:r>
    </w:p>
    <w:p w14:paraId="6DCF3E51" w14:textId="06F8386C" w:rsidR="003420EE" w:rsidRDefault="005D75EB" w:rsidP="005D75EB">
      <w:pPr>
        <w:pStyle w:val="rProposal"/>
      </w:pPr>
      <w:r>
        <w:rPr>
          <w:rFonts w:hint="eastAsia"/>
        </w:rPr>
        <w:t xml:space="preserve">Proposal </w:t>
      </w:r>
      <w:r w:rsidR="00A4161E">
        <w:t>11</w:t>
      </w:r>
      <w:r>
        <w:rPr>
          <w:rFonts w:hint="eastAsia"/>
        </w:rPr>
        <w:t xml:space="preserve">: </w:t>
      </w:r>
      <w:r>
        <w:t xml:space="preserve">Study on link adaptation techniques could be de-prioritized. </w:t>
      </w:r>
    </w:p>
    <w:p w14:paraId="105C4E6B" w14:textId="77777777" w:rsidR="005D75EB" w:rsidRPr="005D75EB" w:rsidRDefault="005D75EB" w:rsidP="005D75EB">
      <w:pPr>
        <w:rPr>
          <w:rFonts w:eastAsiaTheme="minorEastAsia"/>
          <w:lang w:eastAsia="ko-KR"/>
        </w:rPr>
      </w:pPr>
    </w:p>
    <w:p w14:paraId="57550BF3" w14:textId="3C069636" w:rsidR="00B04CE0" w:rsidRDefault="00B04CE0" w:rsidP="00B04CE0">
      <w:pPr>
        <w:pStyle w:val="TdocHeading1"/>
      </w:pPr>
      <w:r>
        <w:t>Conclusion</w:t>
      </w:r>
    </w:p>
    <w:p w14:paraId="22EAA901" w14:textId="1292CCA8" w:rsidR="00FA08CD" w:rsidRDefault="00FA08CD" w:rsidP="00B04CE0">
      <w:pPr>
        <w:pStyle w:val="Doc"/>
      </w:pPr>
      <w:r w:rsidRPr="00FA08CD">
        <w:rPr>
          <w:rFonts w:hint="eastAsia"/>
        </w:rPr>
        <w:t xml:space="preserve">In this contribution, </w:t>
      </w:r>
      <w:r w:rsidR="00FF4D2E" w:rsidRPr="00FF4D2E">
        <w:t xml:space="preserve">we </w:t>
      </w:r>
      <w:r w:rsidR="00FF4D2E">
        <w:t>shared</w:t>
      </w:r>
      <w:r w:rsidR="00FF4D2E" w:rsidRPr="00FF4D2E">
        <w:t xml:space="preserve"> our views on the potential enhancements of </w:t>
      </w:r>
      <w:r w:rsidR="00B04CE0" w:rsidRPr="00B04CE0">
        <w:t xml:space="preserve">capacity enhancement techniques </w:t>
      </w:r>
      <w:r w:rsidR="00FF4D2E" w:rsidRPr="00FF4D2E">
        <w:t>for XR</w:t>
      </w:r>
      <w:r w:rsidRPr="00FA08CD">
        <w:t>.</w:t>
      </w:r>
      <w:r w:rsidR="006054CD">
        <w:t xml:space="preserve"> Following are proposed for </w:t>
      </w:r>
      <w:r w:rsidR="006054CD" w:rsidRPr="006054CD">
        <w:t>XR-specific capacity improvement</w:t>
      </w:r>
      <w:r w:rsidR="006054CD">
        <w:t>:</w:t>
      </w:r>
    </w:p>
    <w:p w14:paraId="7D65A49D" w14:textId="77777777" w:rsidR="00C83F08" w:rsidRPr="00EF5695" w:rsidRDefault="00C83F08" w:rsidP="00C83F08">
      <w:pPr>
        <w:pStyle w:val="rProposal"/>
      </w:pPr>
      <w:r>
        <w:t xml:space="preserve">Proposal 1: 4 or 5 slot SR-to-UL grant delay can be considered. </w:t>
      </w:r>
    </w:p>
    <w:p w14:paraId="3F691B8A" w14:textId="77777777" w:rsidR="00C83F08" w:rsidRPr="00EF5695" w:rsidRDefault="00C83F08" w:rsidP="00C83F08">
      <w:pPr>
        <w:pStyle w:val="rProposal"/>
      </w:pPr>
      <w:r>
        <w:t xml:space="preserve">Proposal 2: Configured grant is beneficial to support various XR traffic. </w:t>
      </w:r>
    </w:p>
    <w:p w14:paraId="3E524464" w14:textId="01A069F8" w:rsidR="00C83F08" w:rsidRPr="00EF5695" w:rsidRDefault="00C83F08" w:rsidP="00C83F08">
      <w:pPr>
        <w:pStyle w:val="rProposal"/>
      </w:pPr>
      <w:r>
        <w:t xml:space="preserve">Proposal 3: At least for jitter handling with CG configuration, it is necessary to allocate multiple TOs in a periodicity with single CG configurations. </w:t>
      </w:r>
    </w:p>
    <w:p w14:paraId="75168033" w14:textId="020E1275" w:rsidR="00C83F08" w:rsidRDefault="00C83F08" w:rsidP="00C83F08">
      <w:pPr>
        <w:pStyle w:val="rProposal"/>
      </w:pPr>
      <w:r>
        <w:t xml:space="preserve">Proposal 4: The single DCI scheduling multiple PDSCH/PUSCH can be re-used for SPS/CG activation DCI in order to allocate multiple TOs in a periodicity with single SPS/CG configurations if it is supported. </w:t>
      </w:r>
    </w:p>
    <w:p w14:paraId="7B41167D" w14:textId="61F817D3" w:rsidR="00C83F08" w:rsidRDefault="00C83F08" w:rsidP="00C83F08">
      <w:pPr>
        <w:pStyle w:val="rProposal"/>
      </w:pPr>
      <w:r>
        <w:rPr>
          <w:rFonts w:hint="eastAsia"/>
        </w:rPr>
        <w:t xml:space="preserve">Proposal </w:t>
      </w:r>
      <w:r>
        <w:t>5</w:t>
      </w:r>
      <w:r>
        <w:rPr>
          <w:rFonts w:hint="eastAsia"/>
        </w:rPr>
        <w:t xml:space="preserve">: </w:t>
      </w:r>
      <w:r>
        <w:t>I</w:t>
      </w:r>
      <w:r>
        <w:rPr>
          <w:rFonts w:hint="eastAsia"/>
        </w:rPr>
        <w:t xml:space="preserve">t can be considered to activate/release </w:t>
      </w:r>
      <w:r>
        <w:t xml:space="preserve">multiple </w:t>
      </w:r>
      <w:r>
        <w:rPr>
          <w:rFonts w:hint="eastAsia"/>
        </w:rPr>
        <w:t xml:space="preserve">SPS/CG </w:t>
      </w:r>
      <w:r>
        <w:t>and/</w:t>
      </w:r>
      <w:r>
        <w:rPr>
          <w:rFonts w:hint="eastAsia"/>
        </w:rPr>
        <w:t>or other semi-static configuration with le</w:t>
      </w:r>
      <w:r>
        <w:t>ast</w:t>
      </w:r>
      <w:r>
        <w:rPr>
          <w:rFonts w:hint="eastAsia"/>
        </w:rPr>
        <w:t xml:space="preserve"> number of DCI</w:t>
      </w:r>
      <w:r>
        <w:t>s for faster service switching.</w:t>
      </w:r>
    </w:p>
    <w:p w14:paraId="0B08C441" w14:textId="5506F5F9" w:rsidR="00C83F08" w:rsidRDefault="00C83F08" w:rsidP="00C83F08">
      <w:pPr>
        <w:pStyle w:val="rProposal"/>
      </w:pPr>
      <w:r>
        <w:rPr>
          <w:rFonts w:hint="eastAsia"/>
        </w:rPr>
        <w:t>Proposal</w:t>
      </w:r>
      <w:r>
        <w:t xml:space="preserve"> 6</w:t>
      </w:r>
      <w:r>
        <w:rPr>
          <w:rFonts w:hint="eastAsia"/>
        </w:rPr>
        <w:t xml:space="preserve"> :</w:t>
      </w:r>
      <w:r>
        <w:t xml:space="preserve"> Support non-integer periodicities by modified equation determining SPS/CG occasions. </w:t>
      </w:r>
    </w:p>
    <w:p w14:paraId="6A5DBB6A" w14:textId="77777777" w:rsidR="00C83F08" w:rsidRPr="00DF3855" w:rsidRDefault="00C83F08" w:rsidP="00C83F08">
      <w:pPr>
        <w:pStyle w:val="rProposal"/>
        <w:numPr>
          <w:ilvl w:val="0"/>
          <w:numId w:val="24"/>
        </w:numPr>
        <w:ind w:firstLineChars="0"/>
      </w:pPr>
      <w:r>
        <w:rPr>
          <w:rFonts w:hint="eastAsia"/>
        </w:rPr>
        <w:t>FFS:</w:t>
      </w:r>
      <w:r>
        <w:t xml:space="preserve"> How to add non-integer periodicities to current periodicity parameter. </w:t>
      </w:r>
    </w:p>
    <w:p w14:paraId="28EBCE7D" w14:textId="071745F9" w:rsidR="00C83F08" w:rsidRDefault="00C83F08" w:rsidP="00C83F08">
      <w:pPr>
        <w:pStyle w:val="rProposal"/>
      </w:pPr>
      <w:r>
        <w:rPr>
          <w:rFonts w:hint="eastAsia"/>
        </w:rPr>
        <w:t>Proposal</w:t>
      </w:r>
      <w:r>
        <w:t xml:space="preserve"> 7</w:t>
      </w:r>
      <w:r>
        <w:rPr>
          <w:rFonts w:hint="eastAsia"/>
        </w:rPr>
        <w:t xml:space="preserve">: </w:t>
      </w:r>
      <w:r w:rsidRPr="00962A84">
        <w:t xml:space="preserve">It is </w:t>
      </w:r>
      <w:r>
        <w:t xml:space="preserve">beneficial </w:t>
      </w:r>
      <w:r w:rsidRPr="00962A84">
        <w:t>to re-use</w:t>
      </w:r>
      <w:r>
        <w:t xml:space="preserve"> the </w:t>
      </w:r>
      <w:r w:rsidRPr="00962A84">
        <w:t>UE capability of single DCI scheduling multi-PDSCHs/PUSCHs for XR capacity improvement</w:t>
      </w:r>
      <w:r>
        <w:t>.</w:t>
      </w:r>
    </w:p>
    <w:p w14:paraId="795D6A59" w14:textId="77777777" w:rsidR="00C83F08" w:rsidRDefault="00C83F08" w:rsidP="00C83F08">
      <w:pPr>
        <w:pStyle w:val="rProposal"/>
        <w:numPr>
          <w:ilvl w:val="0"/>
          <w:numId w:val="24"/>
        </w:numPr>
        <w:ind w:firstLineChars="0"/>
      </w:pPr>
      <w:r>
        <w:t xml:space="preserve">It is necessary to wait </w:t>
      </w:r>
      <w:r w:rsidRPr="00962A84">
        <w:t>the outcome of Rel-17 B52.6G UE feature discussion</w:t>
      </w:r>
      <w:r>
        <w:t xml:space="preserve">. </w:t>
      </w:r>
    </w:p>
    <w:p w14:paraId="0FC5C97A" w14:textId="6937FC44" w:rsidR="00C83F08" w:rsidRDefault="00C83F08" w:rsidP="00C83F08">
      <w:pPr>
        <w:pStyle w:val="rProposal"/>
      </w:pPr>
      <w:r>
        <w:rPr>
          <w:rFonts w:hint="eastAsia"/>
        </w:rPr>
        <w:t>Proposal</w:t>
      </w:r>
      <w:r>
        <w:t xml:space="preserve"> 8</w:t>
      </w:r>
      <w:r>
        <w:rPr>
          <w:rFonts w:hint="eastAsia"/>
        </w:rPr>
        <w:t xml:space="preserve">: </w:t>
      </w:r>
      <w:r w:rsidRPr="00962A84">
        <w:t>It is</w:t>
      </w:r>
      <w:r>
        <w:t xml:space="preserve"> not</w:t>
      </w:r>
      <w:r w:rsidRPr="00962A84">
        <w:t xml:space="preserve"> </w:t>
      </w:r>
      <w:r>
        <w:t xml:space="preserve">necessary </w:t>
      </w:r>
      <w:r w:rsidRPr="00962A84">
        <w:t xml:space="preserve">to </w:t>
      </w:r>
      <w:r>
        <w:t>investigate enhanced HARQ-ACK timing for</w:t>
      </w:r>
      <w:r w:rsidRPr="00962A84">
        <w:t xml:space="preserve"> single DCI scheduling multi-PDSCHs</w:t>
      </w:r>
      <w:r>
        <w:t>.</w:t>
      </w:r>
    </w:p>
    <w:p w14:paraId="31CF0B96" w14:textId="23D5BB1C" w:rsidR="00C83F08" w:rsidRPr="00EF5695" w:rsidRDefault="00C83F08" w:rsidP="00C83F08">
      <w:pPr>
        <w:pStyle w:val="rProposal"/>
      </w:pPr>
      <w:r>
        <w:t xml:space="preserve">Proposal 9: </w:t>
      </w:r>
      <w:r>
        <w:rPr>
          <w:rFonts w:hint="eastAsia"/>
          <w:lang w:val="en-US"/>
        </w:rPr>
        <w:t>For XR-s</w:t>
      </w:r>
      <w:r>
        <w:rPr>
          <w:lang w:val="en-US"/>
        </w:rPr>
        <w:t>pecific capacity improvement, enhancement on SR/BSR can be considered.</w:t>
      </w:r>
    </w:p>
    <w:p w14:paraId="6EFC5128" w14:textId="5977E50E" w:rsidR="00C83F08" w:rsidRPr="00EF5695" w:rsidRDefault="00C83F08" w:rsidP="00C83F08">
      <w:pPr>
        <w:pStyle w:val="rProposal"/>
      </w:pPr>
      <w:r>
        <w:lastRenderedPageBreak/>
        <w:t>Proposal 10: If scheduling techniques for</w:t>
      </w:r>
      <w:r w:rsidRPr="00167001">
        <w:t xml:space="preserve"> XR-awareness information </w:t>
      </w:r>
      <w:r>
        <w:t>is supported,</w:t>
      </w:r>
      <w:r>
        <w:rPr>
          <w:lang w:val="en-US"/>
        </w:rPr>
        <w:t xml:space="preserve"> PDB information can be reported via SR/BSR</w:t>
      </w:r>
      <w:r w:rsidRPr="00167001">
        <w:rPr>
          <w:rFonts w:hint="eastAsia"/>
          <w:lang w:val="en-US"/>
        </w:rPr>
        <w:t xml:space="preserve"> </w:t>
      </w:r>
      <w:r>
        <w:rPr>
          <w:rFonts w:hint="eastAsia"/>
          <w:lang w:val="en-US"/>
        </w:rPr>
        <w:t>for XR-s</w:t>
      </w:r>
      <w:r>
        <w:rPr>
          <w:lang w:val="en-US"/>
        </w:rPr>
        <w:t>pecific capacity improvement</w:t>
      </w:r>
    </w:p>
    <w:p w14:paraId="60C2594D" w14:textId="77777777" w:rsidR="00C83F08" w:rsidRDefault="00C83F08" w:rsidP="00C83F08">
      <w:pPr>
        <w:pStyle w:val="rProposal"/>
      </w:pPr>
      <w:r>
        <w:rPr>
          <w:rFonts w:hint="eastAsia"/>
        </w:rPr>
        <w:t xml:space="preserve">Proposal </w:t>
      </w:r>
      <w:r>
        <w:t>11</w:t>
      </w:r>
      <w:r>
        <w:rPr>
          <w:rFonts w:hint="eastAsia"/>
        </w:rPr>
        <w:t xml:space="preserve">: </w:t>
      </w:r>
      <w:r>
        <w:t xml:space="preserve">Study on link adaptation techniques could be de-prioritized. </w:t>
      </w:r>
    </w:p>
    <w:p w14:paraId="62D66765" w14:textId="77777777" w:rsidR="006054CD" w:rsidRPr="002E5FB7" w:rsidRDefault="006054CD" w:rsidP="00B04CE0">
      <w:pPr>
        <w:pStyle w:val="Doc"/>
        <w:rPr>
          <w:lang w:val="en-GB"/>
        </w:rPr>
      </w:pPr>
    </w:p>
    <w:p w14:paraId="74B8401E" w14:textId="394A0364" w:rsidR="00B04CE0" w:rsidRDefault="00B04CE0" w:rsidP="00B04CE0">
      <w:pPr>
        <w:pStyle w:val="1"/>
        <w:numPr>
          <w:ilvl w:val="0"/>
          <w:numId w:val="1"/>
        </w:numPr>
        <w:ind w:firstLine="0"/>
        <w:rPr>
          <w:rFonts w:eastAsia="바탕"/>
          <w:b/>
          <w:lang w:eastAsia="ko-KR"/>
        </w:rPr>
      </w:pPr>
      <w:r>
        <w:rPr>
          <w:rFonts w:eastAsia="바탕"/>
          <w:b/>
          <w:lang w:eastAsia="ko-KR"/>
        </w:rPr>
        <w:t>References</w:t>
      </w:r>
    </w:p>
    <w:p w14:paraId="729554FF" w14:textId="2855D9AE" w:rsidR="009A44E2" w:rsidRPr="00E779B8" w:rsidRDefault="002E5FB7" w:rsidP="00DE502F">
      <w:pPr>
        <w:pStyle w:val="References"/>
        <w:tabs>
          <w:tab w:val="clear" w:pos="6031"/>
        </w:tabs>
        <w:ind w:left="426" w:hanging="426"/>
        <w:jc w:val="left"/>
      </w:pPr>
      <w:r>
        <w:rPr>
          <w:rFonts w:eastAsiaTheme="minorEastAsia" w:hint="eastAsia"/>
          <w:lang w:eastAsia="ko-KR"/>
        </w:rPr>
        <w:t>RAN</w:t>
      </w:r>
      <w:r>
        <w:rPr>
          <w:rFonts w:eastAsiaTheme="minorEastAsia"/>
          <w:lang w:eastAsia="ko-KR"/>
        </w:rPr>
        <w:t>1#1</w:t>
      </w:r>
      <w:r w:rsidR="00C83F08">
        <w:rPr>
          <w:rFonts w:eastAsiaTheme="minorEastAsia"/>
          <w:lang w:eastAsia="ko-KR"/>
        </w:rPr>
        <w:t>10</w:t>
      </w:r>
      <w:r>
        <w:rPr>
          <w:rFonts w:eastAsiaTheme="minorEastAsia"/>
          <w:lang w:eastAsia="ko-KR"/>
        </w:rPr>
        <w:t>-e Chairman’s notes</w:t>
      </w:r>
    </w:p>
    <w:sectPr w:rsidR="009A44E2" w:rsidRPr="00E779B8"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59824" w14:textId="77777777" w:rsidR="007F6551" w:rsidRDefault="007F6551" w:rsidP="00CB15B0">
      <w:pPr>
        <w:spacing w:before="0" w:after="0" w:line="240" w:lineRule="auto"/>
      </w:pPr>
      <w:r>
        <w:separator/>
      </w:r>
    </w:p>
  </w:endnote>
  <w:endnote w:type="continuationSeparator" w:id="0">
    <w:p w14:paraId="626BAFFB" w14:textId="77777777" w:rsidR="007F6551" w:rsidRDefault="007F655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MS Mincho">
    <w:altName w:val="‚l‚r –¾’©"/>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굴림">
    <w:altName w:val="±¼¸²"/>
    <w:panose1 w:val="020B0600000101010101"/>
    <w:charset w:val="81"/>
    <w:family w:val="moder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E595F" w14:textId="77777777" w:rsidR="007F6551" w:rsidRDefault="007F6551" w:rsidP="00CB15B0">
      <w:pPr>
        <w:spacing w:before="0" w:after="0" w:line="240" w:lineRule="auto"/>
      </w:pPr>
      <w:r>
        <w:separator/>
      </w:r>
    </w:p>
  </w:footnote>
  <w:footnote w:type="continuationSeparator" w:id="0">
    <w:p w14:paraId="642873C6" w14:textId="77777777" w:rsidR="007F6551" w:rsidRDefault="007F655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3">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2993491"/>
    <w:multiLevelType w:val="hybridMultilevel"/>
    <w:tmpl w:val="B27E0C8C"/>
    <w:lvl w:ilvl="0" w:tplc="04090011">
      <w:start w:val="1"/>
      <w:numFmt w:val="decimalEnclosedCircle"/>
      <w:lvlText w:val="%1"/>
      <w:lvlJc w:val="left"/>
      <w:pPr>
        <w:ind w:left="1225" w:hanging="400"/>
      </w:pPr>
    </w:lvl>
    <w:lvl w:ilvl="1" w:tplc="04090019">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5">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nsid w:val="26983C5B"/>
    <w:multiLevelType w:val="hybridMultilevel"/>
    <w:tmpl w:val="50ECC8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1">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13">
    <w:nsid w:val="40DE34BC"/>
    <w:multiLevelType w:val="singleLevel"/>
    <w:tmpl w:val="40DE34BC"/>
    <w:lvl w:ilvl="0">
      <w:start w:val="1"/>
      <w:numFmt w:val="decimal"/>
      <w:lvlText w:val="%1."/>
      <w:lvlJc w:val="left"/>
      <w:pPr>
        <w:tabs>
          <w:tab w:val="left" w:pos="360"/>
        </w:tabs>
        <w:ind w:left="360" w:hanging="360"/>
      </w:pPr>
    </w:lvl>
  </w:abstractNum>
  <w:abstractNum w:abstractNumId="14">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9F86694C"/>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3">
    <w:nsid w:val="74400512"/>
    <w:multiLevelType w:val="hybridMultilevel"/>
    <w:tmpl w:val="5CFCC9D0"/>
    <w:lvl w:ilvl="0" w:tplc="0409000F">
      <w:start w:val="1"/>
      <w:numFmt w:val="decimal"/>
      <w:lvlText w:val="%1."/>
      <w:lvlJc w:val="left"/>
      <w:pPr>
        <w:ind w:left="1225" w:hanging="400"/>
      </w:pPr>
    </w:lvl>
    <w:lvl w:ilvl="1" w:tplc="04090019" w:tentative="1">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24">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0"/>
  </w:num>
  <w:num w:numId="3">
    <w:abstractNumId w:val="9"/>
  </w:num>
  <w:num w:numId="4">
    <w:abstractNumId w:val="19"/>
  </w:num>
  <w:num w:numId="5">
    <w:abstractNumId w:val="20"/>
  </w:num>
  <w:num w:numId="6">
    <w:abstractNumId w:val="24"/>
  </w:num>
  <w:num w:numId="7">
    <w:abstractNumId w:val="5"/>
  </w:num>
  <w:num w:numId="8">
    <w:abstractNumId w:val="13"/>
  </w:num>
  <w:num w:numId="9">
    <w:abstractNumId w:val="8"/>
  </w:num>
  <w:num w:numId="10">
    <w:abstractNumId w:val="10"/>
  </w:num>
  <w:num w:numId="11">
    <w:abstractNumId w:val="12"/>
  </w:num>
  <w:num w:numId="12">
    <w:abstractNumId w:val="16"/>
  </w:num>
  <w:num w:numId="13">
    <w:abstractNumId w:val="17"/>
  </w:num>
  <w:num w:numId="14">
    <w:abstractNumId w:val="18"/>
  </w:num>
  <w:num w:numId="15">
    <w:abstractNumId w:val="2"/>
  </w:num>
  <w:num w:numId="16">
    <w:abstractNumId w:val="1"/>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1"/>
  </w:num>
  <w:num w:numId="20">
    <w:abstractNumId w:val="14"/>
  </w:num>
  <w:num w:numId="21">
    <w:abstractNumId w:val="3"/>
  </w:num>
  <w:num w:numId="22">
    <w:abstractNumId w:val="15"/>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1"/>
  </w:num>
  <w:num w:numId="28">
    <w:abstractNumId w:val="7"/>
  </w:num>
  <w:num w:numId="29">
    <w:abstractNumId w:val="23"/>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03F"/>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BF1"/>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02B"/>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8DE"/>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28E"/>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5FD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2F71"/>
    <w:rsid w:val="008F357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CE4"/>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6F2E"/>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367"/>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195"/>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3A9"/>
    <w:rsid w:val="00EC38BF"/>
    <w:rsid w:val="00EC39A9"/>
    <w:rsid w:val="00EC3B11"/>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2CC"/>
    <w:rsid w:val="00ED44EB"/>
    <w:rsid w:val="00ED5345"/>
    <w:rsid w:val="00ED6012"/>
    <w:rsid w:val="00ED6125"/>
    <w:rsid w:val="00ED6177"/>
    <w:rsid w:val="00ED6EF0"/>
    <w:rsid w:val="00ED7016"/>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AAA"/>
    <w:rsid w:val="00F74B23"/>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3E6"/>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0E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9E19D6"/>
    <w:pPr>
      <w:keepNext/>
      <w:numPr>
        <w:ilvl w:val="1"/>
        <w:numId w:val="1"/>
      </w:numPr>
      <w:outlineLvl w:val="1"/>
    </w:pPr>
    <w:rPr>
      <w:rFonts w:ascii="Arial" w:eastAsia="맑은 고딕" w:hAnsi="Arial"/>
      <w:b/>
      <w:kern w:val="2"/>
      <w:sz w:val="24"/>
      <w:szCs w:val="22"/>
      <w:lang w:val="en-US"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3"/>
    <w:next w:val="a7"/>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9E19D6"/>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B04CE0"/>
    <w:pPr>
      <w:spacing w:before="120" w:line="240" w:lineRule="auto"/>
      <w:ind w:left="0" w:firstLineChars="193" w:firstLine="425"/>
    </w:pPr>
    <w:rPr>
      <w:rFonts w:eastAsia="맑은 고딕"/>
      <w:kern w:val="2"/>
      <w:sz w:val="22"/>
      <w:szCs w:val="22"/>
      <w:lang w:val="en-US" w:eastAsia="ko-KR"/>
    </w:rPr>
  </w:style>
  <w:style w:type="character" w:customStyle="1" w:styleId="DocChar">
    <w:name w:val="Doc Char"/>
    <w:basedOn w:val="a2"/>
    <w:link w:val="Doc"/>
    <w:rsid w:val="00B04CE0"/>
    <w:rPr>
      <w:rFonts w:eastAsia="맑은 고딕"/>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E0817-695A-4CD9-B77B-A246A6C97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8</Pages>
  <Words>2337</Words>
  <Characters>13327</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배덕현/선임연구원/ICT기술센터 C&amp;M표준(연)5G무선접속표준Task(duckhyun.bae@lge.com)</cp:lastModifiedBy>
  <cp:revision>16</cp:revision>
  <cp:lastPrinted>2018-11-01T13:47:00Z</cp:lastPrinted>
  <dcterms:created xsi:type="dcterms:W3CDTF">2022-08-12T12:20:00Z</dcterms:created>
  <dcterms:modified xsi:type="dcterms:W3CDTF">2022-09-30T13:04:00Z</dcterms:modified>
</cp:coreProperties>
</file>